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440B31"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86322E" w:rsidP="00DF7403">
            <w:pPr>
              <w:rPr>
                <w:b/>
              </w:rPr>
            </w:pPr>
            <w:r>
              <w:rPr>
                <w:rStyle w:val="Firstpagetablebold"/>
              </w:rPr>
              <w:t>12 June</w:t>
            </w:r>
            <w:bookmarkStart w:id="0" w:name="_GoBack"/>
            <w:bookmarkEnd w:id="0"/>
            <w:r w:rsidR="00DA6D10">
              <w:rPr>
                <w:rStyle w:val="Firstpagetablebold"/>
              </w:rPr>
              <w:t xml:space="preserve">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047BC0" w:rsidRDefault="00440B31" w:rsidP="00112AE7">
            <w:pPr>
              <w:rPr>
                <w:rStyle w:val="Firstpagetablebold"/>
                <w:b w:val="0"/>
              </w:rPr>
            </w:pPr>
            <w:r>
              <w:rPr>
                <w:b/>
                <w:color w:val="auto"/>
                <w:sz w:val="22"/>
                <w:szCs w:val="22"/>
              </w:rPr>
              <w:t>Executive Director Customer and Communities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505EEA" w:rsidP="00440B31">
            <w:pPr>
              <w:rPr>
                <w:rStyle w:val="Firstpagetablebold"/>
              </w:rPr>
            </w:pPr>
            <w:r>
              <w:rPr>
                <w:rStyle w:val="Firstpagetablebold"/>
              </w:rPr>
              <w:t xml:space="preserve">Award of </w:t>
            </w:r>
            <w:r w:rsidR="00440B31">
              <w:rPr>
                <w:rStyle w:val="Firstpagetablebold"/>
              </w:rPr>
              <w:t>East Oxford Community Centre Design  C</w:t>
            </w:r>
            <w:r>
              <w:rPr>
                <w:rStyle w:val="Firstpagetablebold"/>
              </w:rPr>
              <w:t>ontract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16C47" w:rsidRDefault="00D16C47" w:rsidP="00D16C47">
            <w:pPr>
              <w:tabs>
                <w:tab w:val="left" w:pos="2520"/>
              </w:tabs>
              <w:spacing w:after="0"/>
              <w:ind w:right="105"/>
            </w:pPr>
            <w:r>
              <w:t>To seek the release of £</w:t>
            </w:r>
            <w:r w:rsidR="00BA79D0">
              <w:t>8</w:t>
            </w:r>
            <w:r>
              <w:t xml:space="preserve">00k for consultancy support for the delivery of the East Oxford Community Centre </w:t>
            </w:r>
            <w:r w:rsidR="009C4201">
              <w:t xml:space="preserve">including any </w:t>
            </w:r>
            <w:r>
              <w:t>associated</w:t>
            </w:r>
            <w:r w:rsidR="009C4201">
              <w:t xml:space="preserve"> social</w:t>
            </w:r>
            <w:r>
              <w:t xml:space="preserve"> housing</w:t>
            </w:r>
            <w:r w:rsidR="009C4201">
              <w:t>.</w:t>
            </w:r>
          </w:p>
          <w:p w:rsidR="00CC2980" w:rsidRPr="001356F1" w:rsidRDefault="00CC2980" w:rsidP="00D16C47">
            <w:pPr>
              <w:tabs>
                <w:tab w:val="left" w:pos="2520"/>
              </w:tabs>
              <w:spacing w:after="0"/>
              <w:ind w:right="105"/>
            </w:pP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C813BA">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rsidR="00D5547E" w:rsidRDefault="00505EEA" w:rsidP="00D16C47">
            <w:pPr>
              <w:pStyle w:val="ListParagraph"/>
              <w:widowControl w:val="0"/>
              <w:numPr>
                <w:ilvl w:val="0"/>
                <w:numId w:val="0"/>
              </w:numPr>
              <w:tabs>
                <w:tab w:val="clear" w:pos="426"/>
              </w:tabs>
              <w:spacing w:after="200" w:line="276" w:lineRule="auto"/>
              <w:ind w:left="360" w:hanging="360"/>
              <w:contextualSpacing/>
              <w:rPr>
                <w:rFonts w:eastAsia="Arial" w:cs="Arial"/>
              </w:rPr>
            </w:pPr>
            <w:r>
              <w:rPr>
                <w:rFonts w:eastAsia="Arial" w:cs="Arial"/>
              </w:rPr>
              <w:t xml:space="preserve">Councillor </w:t>
            </w:r>
            <w:r w:rsidR="00440B31">
              <w:rPr>
                <w:rFonts w:eastAsia="Arial" w:cs="Arial"/>
              </w:rPr>
              <w:t>E Turner, Finance and Asset Management</w:t>
            </w:r>
          </w:p>
          <w:p w:rsidR="00131CEE" w:rsidRPr="00D16C47" w:rsidRDefault="00131CEE" w:rsidP="009075D2">
            <w:pPr>
              <w:pStyle w:val="ListParagraph"/>
              <w:widowControl w:val="0"/>
              <w:numPr>
                <w:ilvl w:val="0"/>
                <w:numId w:val="0"/>
              </w:numPr>
              <w:tabs>
                <w:tab w:val="clear" w:pos="426"/>
              </w:tabs>
              <w:spacing w:after="200" w:line="276" w:lineRule="auto"/>
              <w:ind w:left="360" w:hanging="360"/>
              <w:contextualSpacing/>
              <w:rPr>
                <w:rFonts w:eastAsia="Arial" w:cs="Arial"/>
              </w:rPr>
            </w:pPr>
            <w:r>
              <w:rPr>
                <w:rFonts w:eastAsia="Arial" w:cs="Arial"/>
              </w:rPr>
              <w:t xml:space="preserve">Councillor Marie </w:t>
            </w:r>
            <w:proofErr w:type="spellStart"/>
            <w:r>
              <w:rPr>
                <w:rFonts w:eastAsia="Arial" w:cs="Arial"/>
              </w:rPr>
              <w:t>Tidball</w:t>
            </w:r>
            <w:proofErr w:type="spellEnd"/>
            <w:r>
              <w:rPr>
                <w:rFonts w:eastAsia="Arial" w:cs="Arial"/>
              </w:rPr>
              <w:t xml:space="preserve">, </w:t>
            </w:r>
            <w:r w:rsidR="009075D2">
              <w:rPr>
                <w:rFonts w:eastAsia="Arial" w:cs="Arial"/>
              </w:rPr>
              <w:t>Supporting Local Communities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40B31" w:rsidP="005F7F7E">
            <w:r>
              <w:t>Strong and Active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440B31" w:rsidP="005F7F7E">
            <w:r>
              <w:t>Community Centre</w:t>
            </w:r>
            <w:r w:rsidR="00505EEA">
              <w:t xml:space="preserve"> Strategy</w:t>
            </w:r>
          </w:p>
        </w:tc>
      </w:tr>
      <w:tr w:rsidR="005F7F7E" w:rsidRPr="00975B07" w:rsidTr="00A46E98">
        <w:trPr>
          <w:trHeight w:val="413"/>
        </w:trPr>
        <w:tc>
          <w:tcPr>
            <w:tcW w:w="8845" w:type="dxa"/>
            <w:gridSpan w:val="3"/>
            <w:tcBorders>
              <w:bottom w:val="single" w:sz="8" w:space="0" w:color="000000"/>
            </w:tcBorders>
          </w:tcPr>
          <w:p w:rsidR="005F7F7E" w:rsidRPr="00975B07" w:rsidRDefault="00505EEA" w:rsidP="00C813BA">
            <w:r>
              <w:rPr>
                <w:rStyle w:val="Firstpagetablebold"/>
              </w:rPr>
              <w:t>Recommendation</w:t>
            </w:r>
            <w:r w:rsidR="005F7F7E">
              <w:rPr>
                <w:rStyle w:val="Firstpagetablebold"/>
              </w:rPr>
              <w:t>s:</w:t>
            </w:r>
            <w:r w:rsidR="00BB7A9C">
              <w:rPr>
                <w:rStyle w:val="Firstpagetablebold"/>
              </w:rPr>
              <w:t xml:space="preserve"> </w:t>
            </w:r>
            <w:r w:rsidR="005F7F7E" w:rsidRPr="00505EEA">
              <w:rPr>
                <w:rStyle w:val="Firstpagetablebold"/>
                <w:b w:val="0"/>
              </w:rPr>
              <w:t xml:space="preserve">That the </w:t>
            </w:r>
            <w:r w:rsidR="00C813BA">
              <w:rPr>
                <w:rStyle w:val="Firstpagetablebold"/>
                <w:b w:val="0"/>
              </w:rPr>
              <w:t xml:space="preserve">Cabinet </w:t>
            </w:r>
            <w:r w:rsidR="005F7F7E" w:rsidRPr="00505EEA">
              <w:rPr>
                <w:rStyle w:val="Firstpagetablebold"/>
                <w:b w:val="0"/>
              </w:rPr>
              <w:t>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0F5060" w:rsidRPr="001356F1" w:rsidRDefault="000F5060" w:rsidP="00A449B4"/>
        </w:tc>
      </w:tr>
      <w:tr w:rsidR="0030208D" w:rsidRPr="00975B07" w:rsidTr="00A46E98">
        <w:trPr>
          <w:trHeight w:val="283"/>
        </w:trPr>
        <w:tc>
          <w:tcPr>
            <w:tcW w:w="426" w:type="dxa"/>
            <w:tcBorders>
              <w:top w:val="nil"/>
              <w:left w:val="single" w:sz="8" w:space="0" w:color="000000"/>
              <w:bottom w:val="nil"/>
              <w:right w:val="nil"/>
            </w:tcBorders>
          </w:tcPr>
          <w:p w:rsidR="000F5060" w:rsidRDefault="000F5060" w:rsidP="004A6D2F">
            <w:r w:rsidRPr="00975B07">
              <w:t xml:space="preserve"> </w:t>
            </w:r>
          </w:p>
          <w:p w:rsidR="000F5060" w:rsidRDefault="000F5060" w:rsidP="004A6D2F"/>
          <w:p w:rsidR="000F5060" w:rsidRPr="000F5060" w:rsidRDefault="000F5060" w:rsidP="004A6D2F">
            <w:pPr>
              <w:rPr>
                <w:sz w:val="4"/>
                <w:szCs w:val="4"/>
              </w:rPr>
            </w:pPr>
          </w:p>
          <w:p w:rsidR="0030208D" w:rsidRDefault="0030208D" w:rsidP="000F5060"/>
          <w:p w:rsidR="000F5060" w:rsidRPr="00975B07" w:rsidRDefault="000F5060" w:rsidP="004A6D2F"/>
        </w:tc>
        <w:tc>
          <w:tcPr>
            <w:tcW w:w="8419" w:type="dxa"/>
            <w:gridSpan w:val="2"/>
            <w:tcBorders>
              <w:top w:val="nil"/>
              <w:left w:val="nil"/>
              <w:bottom w:val="nil"/>
              <w:right w:val="single" w:sz="8" w:space="0" w:color="000000"/>
            </w:tcBorders>
            <w:shd w:val="clear" w:color="auto" w:fill="auto"/>
          </w:tcPr>
          <w:p w:rsidR="000F5060" w:rsidRDefault="00505EEA" w:rsidP="00D755C3">
            <w:pPr>
              <w:pStyle w:val="ListParagraph"/>
              <w:numPr>
                <w:ilvl w:val="0"/>
                <w:numId w:val="9"/>
              </w:numPr>
            </w:pPr>
            <w:r w:rsidRPr="00D755C3">
              <w:rPr>
                <w:b/>
              </w:rPr>
              <w:t>Approve</w:t>
            </w:r>
            <w:r w:rsidRPr="00505EEA">
              <w:t xml:space="preserve"> the </w:t>
            </w:r>
            <w:r w:rsidR="00440B31">
              <w:t xml:space="preserve">release of </w:t>
            </w:r>
            <w:r w:rsidR="00DA6D10">
              <w:t xml:space="preserve">£800k </w:t>
            </w:r>
            <w:r w:rsidR="00440B31">
              <w:t>of th</w:t>
            </w:r>
            <w:r w:rsidR="00EA2026">
              <w:t>e East Oxford C</w:t>
            </w:r>
            <w:r w:rsidR="00050491">
              <w:t xml:space="preserve">ommunity Centre Capital </w:t>
            </w:r>
            <w:r w:rsidR="00F613BE">
              <w:t>budget</w:t>
            </w:r>
            <w:r w:rsidR="00440B31">
              <w:t xml:space="preserve"> for detailed design and feasibility work, technical specification, planning and oversight of </w:t>
            </w:r>
            <w:r w:rsidR="001C2FF7">
              <w:t xml:space="preserve">the </w:t>
            </w:r>
            <w:r w:rsidR="00440B31">
              <w:t xml:space="preserve">build of the </w:t>
            </w:r>
            <w:r w:rsidR="00FC7942">
              <w:t xml:space="preserve">East Oxford </w:t>
            </w:r>
            <w:r w:rsidR="00440B31">
              <w:t>Community Centre</w:t>
            </w:r>
            <w:r w:rsidR="009C4201">
              <w:t xml:space="preserve"> </w:t>
            </w:r>
            <w:r w:rsidR="00EA2026">
              <w:t>including social housing, to occupation</w:t>
            </w:r>
            <w:r w:rsidR="009C4201">
              <w:t>.</w:t>
            </w:r>
          </w:p>
          <w:p w:rsidR="00D755C3" w:rsidRDefault="00D755C3" w:rsidP="00D755C3">
            <w:pPr>
              <w:pStyle w:val="ListParagraph"/>
              <w:numPr>
                <w:ilvl w:val="0"/>
                <w:numId w:val="9"/>
              </w:numPr>
            </w:pPr>
            <w:r>
              <w:rPr>
                <w:b/>
              </w:rPr>
              <w:t>Delegate</w:t>
            </w:r>
            <w:r w:rsidR="00106FC1">
              <w:rPr>
                <w:b/>
              </w:rPr>
              <w:t xml:space="preserve"> </w:t>
            </w:r>
            <w:r w:rsidR="00106FC1">
              <w:t xml:space="preserve">to the Interim Director Communities, acting in conjunction with the Heads of Law &amp; Governance and Finance, and in conjunction with the Portfolio Holders for Supporting Local Communities and Finance &amp; Asset Management, the authority to enter into all necessary and appropriate contracts and to take any required steps to secure the development of the East Oxford Community Centre and </w:t>
            </w:r>
            <w:r w:rsidR="00EA2026">
              <w:t>associated housing.</w:t>
            </w:r>
          </w:p>
          <w:p w:rsidR="00440B31" w:rsidRPr="001356F1" w:rsidRDefault="00440B31" w:rsidP="00DA6D10"/>
        </w:tc>
      </w:tr>
      <w:tr w:rsidR="00232F5B" w:rsidRPr="00975B07" w:rsidTr="002B5CA5">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069B3"/>
        </w:tc>
      </w:tr>
    </w:tbl>
    <w:p w:rsidR="00CE544A" w:rsidRDefault="00CE544A" w:rsidP="004A6D2F"/>
    <w:p w:rsidR="00EA2026" w:rsidRDefault="00EA2026" w:rsidP="004A6D2F"/>
    <w:p w:rsidR="00EA2026" w:rsidRPr="009E51FC" w:rsidRDefault="00EA2026"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406"/>
      </w:tblGrid>
      <w:tr w:rsidR="00966D42" w:rsidRPr="00975B07" w:rsidTr="002B5CA5">
        <w:tc>
          <w:tcPr>
            <w:tcW w:w="8844" w:type="dxa"/>
            <w:gridSpan w:val="2"/>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2B5CA5">
        <w:tc>
          <w:tcPr>
            <w:tcW w:w="2438" w:type="dxa"/>
            <w:shd w:val="clear" w:color="auto" w:fill="auto"/>
          </w:tcPr>
          <w:p w:rsidR="00F613BE" w:rsidRDefault="000B5B8D" w:rsidP="004A6D2F">
            <w:r>
              <w:t xml:space="preserve">Appendix </w:t>
            </w:r>
            <w:r w:rsidR="00F613BE">
              <w:t>1</w:t>
            </w:r>
          </w:p>
          <w:p w:rsidR="00ED5860" w:rsidRDefault="000B5B8D" w:rsidP="004A6D2F">
            <w:r>
              <w:t>A</w:t>
            </w:r>
            <w:r w:rsidR="00ED5860" w:rsidRPr="00975B07">
              <w:t xml:space="preserve">ppendix </w:t>
            </w:r>
            <w:r w:rsidR="00F613BE">
              <w:t>2</w:t>
            </w:r>
          </w:p>
          <w:p w:rsidR="00F143CE" w:rsidRPr="00975B07" w:rsidRDefault="00F143CE" w:rsidP="004A6D2F">
            <w:r>
              <w:t>Appendix 3</w:t>
            </w:r>
          </w:p>
        </w:tc>
        <w:tc>
          <w:tcPr>
            <w:tcW w:w="6406" w:type="dxa"/>
          </w:tcPr>
          <w:p w:rsidR="000B5B8D" w:rsidRDefault="000B5B8D" w:rsidP="004A6D2F">
            <w:r>
              <w:t>Site location plan for the three sites</w:t>
            </w:r>
          </w:p>
          <w:p w:rsidR="00ED5860" w:rsidRDefault="00505EEA" w:rsidP="004A6D2F">
            <w:r>
              <w:t>Risk Register</w:t>
            </w:r>
          </w:p>
          <w:p w:rsidR="00F143CE" w:rsidRPr="001356F1" w:rsidRDefault="00F143CE" w:rsidP="004A6D2F">
            <w:r>
              <w:t>Equalities Assessment</w:t>
            </w:r>
          </w:p>
        </w:tc>
      </w:tr>
    </w:tbl>
    <w:p w:rsidR="000F5060" w:rsidRDefault="000F5060" w:rsidP="00505EEA">
      <w:pPr>
        <w:spacing w:before="60" w:after="0"/>
        <w:ind w:right="-20"/>
        <w:rPr>
          <w:rFonts w:eastAsia="Arial" w:cs="Arial"/>
          <w:b/>
          <w:bCs/>
        </w:rPr>
      </w:pPr>
    </w:p>
    <w:p w:rsidR="00C813BA" w:rsidRDefault="00C813BA" w:rsidP="00505EEA">
      <w:pPr>
        <w:spacing w:before="60" w:after="0"/>
        <w:ind w:right="-20"/>
        <w:rPr>
          <w:rFonts w:eastAsia="Arial" w:cs="Arial"/>
          <w:b/>
          <w:bCs/>
        </w:rPr>
      </w:pPr>
    </w:p>
    <w:p w:rsidR="00C813BA" w:rsidRDefault="00C813BA" w:rsidP="00505EEA">
      <w:pPr>
        <w:spacing w:before="60" w:after="0"/>
        <w:ind w:right="-20"/>
        <w:rPr>
          <w:rFonts w:eastAsia="Arial" w:cs="Arial"/>
          <w:b/>
          <w:bCs/>
        </w:rPr>
      </w:pPr>
    </w:p>
    <w:p w:rsidR="00505EEA" w:rsidRPr="00505EEA" w:rsidRDefault="00505EEA" w:rsidP="00505EEA">
      <w:pPr>
        <w:spacing w:before="60" w:after="0"/>
        <w:ind w:right="-20"/>
        <w:rPr>
          <w:rFonts w:ascii="Calibri" w:eastAsia="Calibri" w:hAnsi="Calibri"/>
          <w:sz w:val="12"/>
          <w:szCs w:val="12"/>
        </w:rPr>
      </w:pPr>
      <w:r>
        <w:rPr>
          <w:rFonts w:eastAsia="Arial" w:cs="Arial"/>
          <w:b/>
          <w:bCs/>
        </w:rPr>
        <w:t>Introduction</w:t>
      </w:r>
      <w:r>
        <w:rPr>
          <w:rFonts w:eastAsia="Arial" w:cs="Arial"/>
          <w:b/>
          <w:bCs/>
          <w:spacing w:val="-14"/>
        </w:rPr>
        <w:t xml:space="preserve"> </w:t>
      </w:r>
      <w:r>
        <w:rPr>
          <w:rFonts w:eastAsia="Arial" w:cs="Arial"/>
          <w:b/>
          <w:bCs/>
        </w:rPr>
        <w:t>and</w:t>
      </w:r>
      <w:r>
        <w:rPr>
          <w:rFonts w:eastAsia="Arial" w:cs="Arial"/>
          <w:b/>
          <w:bCs/>
          <w:spacing w:val="-4"/>
        </w:rPr>
        <w:t xml:space="preserve"> </w:t>
      </w:r>
      <w:r>
        <w:rPr>
          <w:rFonts w:eastAsia="Arial" w:cs="Arial"/>
          <w:b/>
          <w:bCs/>
        </w:rPr>
        <w:t>background</w:t>
      </w:r>
    </w:p>
    <w:p w:rsidR="00505EEA" w:rsidRDefault="00505EEA" w:rsidP="00505EEA">
      <w:pPr>
        <w:pStyle w:val="ListParagraph"/>
        <w:numPr>
          <w:ilvl w:val="0"/>
          <w:numId w:val="0"/>
        </w:numPr>
        <w:tabs>
          <w:tab w:val="left" w:pos="520"/>
        </w:tabs>
        <w:spacing w:after="0"/>
        <w:ind w:left="464" w:right="230"/>
        <w:rPr>
          <w:rFonts w:eastAsia="Arial" w:cs="Arial"/>
        </w:rPr>
      </w:pPr>
    </w:p>
    <w:p w:rsidR="00B32CFF" w:rsidRDefault="00D3224D" w:rsidP="00F143CE">
      <w:pPr>
        <w:pStyle w:val="ListParagraph"/>
        <w:numPr>
          <w:ilvl w:val="0"/>
          <w:numId w:val="6"/>
        </w:numPr>
        <w:tabs>
          <w:tab w:val="clear" w:pos="426"/>
        </w:tabs>
        <w:ind w:left="426"/>
      </w:pPr>
      <w:r>
        <w:t>This report seeks approval to release funds for the detailed design, feasibility, technical specification, planning and oversight of the redevelopment of the East Oxford Community Centre</w:t>
      </w:r>
      <w:r w:rsidR="00FC7942">
        <w:t xml:space="preserve"> (the Community Centre)</w:t>
      </w:r>
      <w:r>
        <w:t xml:space="preserve"> site to provide 900m2 of community space</w:t>
      </w:r>
      <w:r w:rsidR="00FD1678">
        <w:t xml:space="preserve">.  This includes the </w:t>
      </w:r>
      <w:r>
        <w:t>refurbishment of the existing community centre and additional new buildings</w:t>
      </w:r>
      <w:r w:rsidR="001B5B07">
        <w:t xml:space="preserve"> as well as some housing on site</w:t>
      </w:r>
      <w:r>
        <w:t xml:space="preserve">. </w:t>
      </w:r>
      <w:r w:rsidR="008B7A9F">
        <w:t xml:space="preserve">In addition, </w:t>
      </w:r>
      <w:r w:rsidR="009C4201">
        <w:t xml:space="preserve">the Chinese Advice Centre and </w:t>
      </w:r>
      <w:r w:rsidR="008B7A9F">
        <w:t>Fusion Arts Building on the Princes Street site will be demolished.  Discussions are underway with the Chinese Advice Centre on the relocation of the Advice Centre</w:t>
      </w:r>
      <w:r w:rsidR="00F613BE">
        <w:t xml:space="preserve">.  </w:t>
      </w:r>
      <w:r w:rsidR="008B7A9F">
        <w:t xml:space="preserve"> </w:t>
      </w:r>
      <w:r w:rsidR="00F613BE">
        <w:t>Film Oxford and</w:t>
      </w:r>
      <w:r w:rsidR="008B7A9F">
        <w:t xml:space="preserve"> Fusion Arts </w:t>
      </w:r>
      <w:r w:rsidR="00F613BE">
        <w:t>are</w:t>
      </w:r>
      <w:r w:rsidR="008B7A9F">
        <w:t xml:space="preserve"> anchor tenant</w:t>
      </w:r>
      <w:r w:rsidR="00F613BE">
        <w:t>s</w:t>
      </w:r>
      <w:r w:rsidR="008B7A9F">
        <w:t xml:space="preserve"> in the new Community Centre.  </w:t>
      </w:r>
      <w:r w:rsidR="00512A83">
        <w:t>One block (“</w:t>
      </w:r>
      <w:r w:rsidR="008B7A9F">
        <w:t>Block B</w:t>
      </w:r>
      <w:r w:rsidR="00512A83">
        <w:t>”)</w:t>
      </w:r>
      <w:r w:rsidR="008B7A9F">
        <w:t xml:space="preserve"> has already been demolished and tenants relocated.</w:t>
      </w:r>
    </w:p>
    <w:p w:rsidR="00B32CFF" w:rsidRDefault="00D3224D" w:rsidP="00F143CE">
      <w:pPr>
        <w:pStyle w:val="ListParagraph"/>
        <w:numPr>
          <w:ilvl w:val="0"/>
          <w:numId w:val="0"/>
        </w:numPr>
        <w:tabs>
          <w:tab w:val="clear" w:pos="426"/>
        </w:tabs>
        <w:ind w:left="426"/>
      </w:pPr>
      <w:r>
        <w:t xml:space="preserve"> </w:t>
      </w:r>
    </w:p>
    <w:p w:rsidR="00B32CFF" w:rsidRDefault="00B32CFF" w:rsidP="00F143CE">
      <w:pPr>
        <w:pStyle w:val="ListParagraph"/>
        <w:numPr>
          <w:ilvl w:val="0"/>
          <w:numId w:val="6"/>
        </w:numPr>
        <w:tabs>
          <w:tab w:val="clear" w:pos="426"/>
        </w:tabs>
        <w:ind w:left="426"/>
      </w:pPr>
      <w:r>
        <w:t>As part of the development</w:t>
      </w:r>
      <w:r w:rsidR="00FB3D62">
        <w:t xml:space="preserve">, it is proposed that the Games Hall and </w:t>
      </w:r>
      <w:r>
        <w:t xml:space="preserve">Film Oxford sites be released for housing subject to planning.  </w:t>
      </w:r>
      <w:r w:rsidR="00EA2026">
        <w:t xml:space="preserve"> The Council is in discussion</w:t>
      </w:r>
      <w:r w:rsidR="00131CEE">
        <w:t xml:space="preserve"> with </w:t>
      </w:r>
      <w:r>
        <w:t>community groups on these sites</w:t>
      </w:r>
      <w:r w:rsidR="00131CEE">
        <w:t>.  It has been agreed with</w:t>
      </w:r>
      <w:r>
        <w:t xml:space="preserve"> Film Oxford</w:t>
      </w:r>
      <w:r w:rsidR="00131CEE">
        <w:t xml:space="preserve"> that they</w:t>
      </w:r>
      <w:r>
        <w:t xml:space="preserve"> will relocate on the East Oxford Community Centre site</w:t>
      </w:r>
      <w:r w:rsidR="00131CEE">
        <w:t>.</w:t>
      </w:r>
      <w:r>
        <w:t xml:space="preserve"> Games Hall users will be relocated to alternative venues.</w:t>
      </w:r>
    </w:p>
    <w:p w:rsidR="00B32CFF" w:rsidRDefault="00B32CFF" w:rsidP="00F143CE">
      <w:pPr>
        <w:pStyle w:val="ListParagraph"/>
        <w:numPr>
          <w:ilvl w:val="0"/>
          <w:numId w:val="0"/>
        </w:numPr>
        <w:ind w:left="360"/>
      </w:pPr>
    </w:p>
    <w:p w:rsidR="00FB3D62" w:rsidRDefault="00B32CFF" w:rsidP="00F143CE">
      <w:pPr>
        <w:pStyle w:val="ListParagraph"/>
        <w:numPr>
          <w:ilvl w:val="0"/>
          <w:numId w:val="6"/>
        </w:numPr>
        <w:tabs>
          <w:tab w:val="clear" w:pos="426"/>
        </w:tabs>
        <w:ind w:left="426"/>
      </w:pPr>
      <w:r>
        <w:t>Appendix 1 shows the location of the key sites.</w:t>
      </w:r>
    </w:p>
    <w:p w:rsidR="00B32CFF" w:rsidRDefault="00B32CFF" w:rsidP="00F143CE">
      <w:pPr>
        <w:pStyle w:val="ListParagraph"/>
        <w:numPr>
          <w:ilvl w:val="0"/>
          <w:numId w:val="0"/>
        </w:numPr>
        <w:tabs>
          <w:tab w:val="clear" w:pos="426"/>
        </w:tabs>
        <w:ind w:left="426"/>
      </w:pPr>
    </w:p>
    <w:p w:rsidR="00FB3D62" w:rsidRDefault="00B32CFF" w:rsidP="00D16C47">
      <w:pPr>
        <w:pStyle w:val="ListParagraph"/>
        <w:numPr>
          <w:ilvl w:val="0"/>
          <w:numId w:val="6"/>
        </w:numPr>
        <w:tabs>
          <w:tab w:val="clear" w:pos="426"/>
        </w:tabs>
        <w:ind w:left="426"/>
      </w:pPr>
      <w:r>
        <w:t xml:space="preserve">The concept was developed following extensive consultation with the local community in 2016, and it is now proposed that detailed design and feasibility work be undertaken based on the preferred proposal. </w:t>
      </w:r>
    </w:p>
    <w:p w:rsidR="00617308" w:rsidRDefault="00617308" w:rsidP="00617308"/>
    <w:p w:rsidR="00CC2980" w:rsidRDefault="00617308">
      <w:pPr>
        <w:pStyle w:val="ListParagraph"/>
        <w:numPr>
          <w:ilvl w:val="0"/>
          <w:numId w:val="6"/>
        </w:numPr>
        <w:tabs>
          <w:tab w:val="clear" w:pos="426"/>
        </w:tabs>
        <w:ind w:left="426"/>
      </w:pPr>
      <w:r>
        <w:t xml:space="preserve">This report seeks the release of funding for the development of proposals for the </w:t>
      </w:r>
      <w:r w:rsidR="008B7A9F">
        <w:t>Princes Street site and concept plans for the Games Hall and Film Oxford sites</w:t>
      </w:r>
      <w:r w:rsidR="007C3988">
        <w:t>.</w:t>
      </w:r>
    </w:p>
    <w:p w:rsidR="00CC2980" w:rsidRDefault="00CC2980" w:rsidP="00F143CE"/>
    <w:p w:rsidR="00CC2980" w:rsidRDefault="00B32CFF" w:rsidP="00D16C47">
      <w:pPr>
        <w:pStyle w:val="ListParagraph"/>
        <w:numPr>
          <w:ilvl w:val="0"/>
          <w:numId w:val="6"/>
        </w:numPr>
        <w:tabs>
          <w:tab w:val="clear" w:pos="426"/>
        </w:tabs>
        <w:ind w:left="426"/>
      </w:pPr>
      <w:r>
        <w:t xml:space="preserve">Following an OJEU compliant </w:t>
      </w:r>
      <w:r w:rsidR="00CC2980">
        <w:t xml:space="preserve">procurement process, </w:t>
      </w:r>
      <w:proofErr w:type="spellStart"/>
      <w:r w:rsidR="00CC2980">
        <w:t>Arcadis</w:t>
      </w:r>
      <w:proofErr w:type="spellEnd"/>
      <w:r w:rsidR="00CC2980">
        <w:t xml:space="preserve"> has been selected to undertake this work at a total cost of £800k, </w:t>
      </w:r>
      <w:r w:rsidR="00A64A11">
        <w:t>from detailed feasibility and design to overseeing the delivery of the project through to occupation</w:t>
      </w:r>
      <w:r>
        <w:t xml:space="preserve"> of the Community Centre</w:t>
      </w:r>
      <w:r w:rsidR="00A64A11">
        <w:t>.  There</w:t>
      </w:r>
      <w:r w:rsidR="00CC2980">
        <w:t xml:space="preserve"> </w:t>
      </w:r>
      <w:r w:rsidR="00FC7942">
        <w:t xml:space="preserve">are </w:t>
      </w:r>
      <w:r w:rsidR="00CC2980">
        <w:t>break clauses at key points in the process.  Approval will be sought from Cabinet</w:t>
      </w:r>
      <w:r w:rsidR="00A64A11">
        <w:t xml:space="preserve"> during </w:t>
      </w:r>
      <w:proofErr w:type="gramStart"/>
      <w:r w:rsidR="00A64A11">
        <w:t>Autumn</w:t>
      </w:r>
      <w:proofErr w:type="gramEnd"/>
      <w:r w:rsidR="00FC7942">
        <w:t xml:space="preserve"> 2019</w:t>
      </w:r>
      <w:r w:rsidR="00CC2980">
        <w:t xml:space="preserve"> for the release of capital funds for the build, once the</w:t>
      </w:r>
      <w:r w:rsidR="00A64A11">
        <w:t xml:space="preserve"> work has been undertaken to complete the</w:t>
      </w:r>
      <w:r w:rsidR="00CC2980">
        <w:t xml:space="preserve"> full business case.</w:t>
      </w:r>
      <w:r w:rsidR="00A64A11">
        <w:t xml:space="preserve">  </w:t>
      </w:r>
    </w:p>
    <w:p w:rsidR="006D3882" w:rsidRDefault="006D3882" w:rsidP="006D3882"/>
    <w:p w:rsidR="006D3882" w:rsidRDefault="006D3882" w:rsidP="006D3882">
      <w:pPr>
        <w:ind w:left="360" w:hanging="360"/>
      </w:pPr>
    </w:p>
    <w:p w:rsidR="00D3224D" w:rsidRDefault="00D3224D" w:rsidP="00D3224D">
      <w:pPr>
        <w:ind w:left="66"/>
      </w:pPr>
    </w:p>
    <w:p w:rsidR="00617308" w:rsidRPr="00617308" w:rsidRDefault="00617308" w:rsidP="00D3224D">
      <w:pPr>
        <w:ind w:left="66"/>
        <w:rPr>
          <w:b/>
        </w:rPr>
      </w:pPr>
      <w:r w:rsidRPr="00617308">
        <w:rPr>
          <w:b/>
        </w:rPr>
        <w:t>Background</w:t>
      </w:r>
    </w:p>
    <w:p w:rsidR="00D3224D" w:rsidRDefault="00D3224D" w:rsidP="00D16C47">
      <w:pPr>
        <w:pStyle w:val="ListParagraph"/>
        <w:numPr>
          <w:ilvl w:val="0"/>
          <w:numId w:val="6"/>
        </w:numPr>
        <w:tabs>
          <w:tab w:val="clear" w:pos="426"/>
        </w:tabs>
        <w:ind w:left="426"/>
      </w:pPr>
      <w:r>
        <w:t>Following a desktop feasibility exercise and concept plan development in September 2017, the cost of the redevelopment of the Community Centre was estimated at £4.0m</w:t>
      </w:r>
      <w:r w:rsidR="00CC2980">
        <w:t xml:space="preserve">. </w:t>
      </w:r>
      <w:r>
        <w:t xml:space="preserve"> This assumed a very modest refurbishment of the existing original school building and new build to the rear of this building (with Fusion Art, </w:t>
      </w:r>
      <w:r w:rsidR="008B7A9F">
        <w:t>B</w:t>
      </w:r>
      <w:r w:rsidR="00F143CE">
        <w:t xml:space="preserve"> B</w:t>
      </w:r>
      <w:r>
        <w:t>lock and the Chinese building having been demolished).</w:t>
      </w:r>
    </w:p>
    <w:p w:rsidR="00D3224D" w:rsidRDefault="00D3224D" w:rsidP="00D3224D">
      <w:pPr>
        <w:pStyle w:val="ListParagraph"/>
        <w:numPr>
          <w:ilvl w:val="0"/>
          <w:numId w:val="0"/>
        </w:numPr>
        <w:ind w:left="360"/>
      </w:pPr>
    </w:p>
    <w:p w:rsidR="007C3988" w:rsidRDefault="00D3224D" w:rsidP="00D16C47">
      <w:pPr>
        <w:pStyle w:val="ListParagraph"/>
        <w:numPr>
          <w:ilvl w:val="0"/>
          <w:numId w:val="6"/>
        </w:numPr>
        <w:tabs>
          <w:tab w:val="clear" w:pos="426"/>
        </w:tabs>
        <w:ind w:left="426"/>
      </w:pPr>
      <w:r>
        <w:t xml:space="preserve">It was calculated that £2.6m (Sept 2017) could be achieved if the residential development sites </w:t>
      </w:r>
      <w:r w:rsidR="00617308">
        <w:t xml:space="preserve">(Film Oxford and Games Hall sites) </w:t>
      </w:r>
      <w:r>
        <w:t xml:space="preserve">were sold on the open market (subject to planning permission being in place) to </w:t>
      </w:r>
      <w:r w:rsidR="00234D3A">
        <w:t>part fund</w:t>
      </w:r>
      <w:r>
        <w:t xml:space="preserve"> the £4m project</w:t>
      </w:r>
      <w:r w:rsidR="00617308">
        <w:t>ed</w:t>
      </w:r>
      <w:r>
        <w:t xml:space="preserve"> cost</w:t>
      </w:r>
      <w:r w:rsidR="00617308">
        <w:t xml:space="preserve"> of the Community Centre redevelopment</w:t>
      </w:r>
      <w:r>
        <w:t xml:space="preserve">.  Capital funding of £4m </w:t>
      </w:r>
      <w:r w:rsidR="00FC7942">
        <w:t xml:space="preserve">was </w:t>
      </w:r>
      <w:r>
        <w:t xml:space="preserve">allocated in the 2017/18 budget as the </w:t>
      </w:r>
      <w:r w:rsidR="00FC7942">
        <w:t>C</w:t>
      </w:r>
      <w:r>
        <w:t xml:space="preserve">ommunity </w:t>
      </w:r>
      <w:r w:rsidR="00FC7942">
        <w:t>C</w:t>
      </w:r>
      <w:r>
        <w:t xml:space="preserve">entre would be developed in advance of the </w:t>
      </w:r>
      <w:r w:rsidR="008B7A9F">
        <w:t xml:space="preserve">Film Oxford and Games Hall sites </w:t>
      </w:r>
      <w:r>
        <w:t>being sold for housing</w:t>
      </w:r>
      <w:r w:rsidR="008B7A9F">
        <w:t>, subject to planning approval</w:t>
      </w:r>
      <w:r>
        <w:t>.</w:t>
      </w:r>
      <w:r w:rsidR="00766C47">
        <w:t xml:space="preserve">  </w:t>
      </w:r>
    </w:p>
    <w:p w:rsidR="007C3988" w:rsidRDefault="007C3988" w:rsidP="007C3988">
      <w:pPr>
        <w:ind w:left="360" w:hanging="360"/>
      </w:pPr>
    </w:p>
    <w:p w:rsidR="007C3988" w:rsidRDefault="007C3988" w:rsidP="00D16C47">
      <w:pPr>
        <w:pStyle w:val="ListParagraph"/>
        <w:numPr>
          <w:ilvl w:val="0"/>
          <w:numId w:val="6"/>
        </w:numPr>
        <w:tabs>
          <w:tab w:val="clear" w:pos="426"/>
        </w:tabs>
        <w:ind w:left="426"/>
      </w:pPr>
      <w:r>
        <w:t>In addition</w:t>
      </w:r>
      <w:r w:rsidR="00234D3A">
        <w:t xml:space="preserve"> to the £4million</w:t>
      </w:r>
      <w:r>
        <w:t xml:space="preserve">, £10.6m was </w:t>
      </w:r>
      <w:r w:rsidR="00234D3A">
        <w:t xml:space="preserve">approved </w:t>
      </w:r>
      <w:r>
        <w:t>in the H</w:t>
      </w:r>
      <w:r w:rsidR="00FC7942">
        <w:t xml:space="preserve">ousing </w:t>
      </w:r>
      <w:r>
        <w:t>R</w:t>
      </w:r>
      <w:r w:rsidR="00FC7942">
        <w:t xml:space="preserve">evenue </w:t>
      </w:r>
      <w:r>
        <w:t>A</w:t>
      </w:r>
      <w:r w:rsidR="00FC7942">
        <w:t>ccount</w:t>
      </w:r>
      <w:r w:rsidR="00E658A9">
        <w:t xml:space="preserve"> (HRA)</w:t>
      </w:r>
      <w:r w:rsidR="00106FC1">
        <w:t xml:space="preserve"> </w:t>
      </w:r>
      <w:r w:rsidR="00234D3A">
        <w:t>Capital Programme</w:t>
      </w:r>
      <w:r>
        <w:t xml:space="preserve"> to fund land purchase, assumed as £2.6m, plus construction/ delivery cost of the housing.  </w:t>
      </w:r>
      <w:r w:rsidR="00234D3A">
        <w:t>The Council ha</w:t>
      </w:r>
      <w:r w:rsidR="00E658A9">
        <w:t>s</w:t>
      </w:r>
      <w:r w:rsidR="00234D3A">
        <w:t xml:space="preserve"> recently been considering its strategic direction in respect of its development of housing following the removal of the debt cap in the HRA in October 2018. If approved by Cabinet in May</w:t>
      </w:r>
      <w:r w:rsidR="00E658A9">
        <w:t xml:space="preserve"> 2019</w:t>
      </w:r>
      <w:r w:rsidR="00234D3A">
        <w:t xml:space="preserve">, </w:t>
      </w:r>
      <w:r w:rsidR="009B38FB">
        <w:t>any subsequent housing scheme</w:t>
      </w:r>
      <w:r w:rsidR="009C4201">
        <w:t xml:space="preserve"> including social housing,</w:t>
      </w:r>
      <w:r w:rsidR="009B38FB">
        <w:t xml:space="preserve"> arising from the East Oxford Community Centre site could be undertaken in the Housing Company financed by the HRA. The budget in the HRA and the reflection of General Fund borrowing to the Housing Company will be updated at an appropriate time</w:t>
      </w:r>
      <w:r w:rsidR="00106FC1">
        <w:t>.</w:t>
      </w:r>
      <w:r w:rsidR="009B38FB">
        <w:t xml:space="preserve"> </w:t>
      </w:r>
    </w:p>
    <w:p w:rsidR="00766C47" w:rsidRDefault="00766C47" w:rsidP="00766C47">
      <w:pPr>
        <w:pStyle w:val="ListParagraph"/>
        <w:numPr>
          <w:ilvl w:val="0"/>
          <w:numId w:val="0"/>
        </w:numPr>
        <w:ind w:left="360"/>
      </w:pPr>
    </w:p>
    <w:p w:rsidR="00766C47" w:rsidRDefault="009B38FB" w:rsidP="00D16C47">
      <w:pPr>
        <w:pStyle w:val="ListParagraph"/>
        <w:numPr>
          <w:ilvl w:val="0"/>
          <w:numId w:val="6"/>
        </w:numPr>
        <w:tabs>
          <w:tab w:val="clear" w:pos="426"/>
        </w:tabs>
        <w:ind w:left="426"/>
      </w:pPr>
      <w:r>
        <w:t xml:space="preserve">Members should </w:t>
      </w:r>
      <w:r w:rsidR="00766C47">
        <w:t>not</w:t>
      </w:r>
      <w:r>
        <w:t>e</w:t>
      </w:r>
      <w:r w:rsidR="00766C47">
        <w:t xml:space="preserve"> </w:t>
      </w:r>
      <w:r>
        <w:t xml:space="preserve">that the cost estimates included in this report </w:t>
      </w:r>
      <w:r w:rsidR="00766C47">
        <w:t xml:space="preserve"> were based on 2017 figures</w:t>
      </w:r>
      <w:r w:rsidR="00CC2980">
        <w:t xml:space="preserve">, </w:t>
      </w:r>
      <w:r w:rsidR="001C2FF7">
        <w:t>t</w:t>
      </w:r>
      <w:r>
        <w:t xml:space="preserve">hese estimates </w:t>
      </w:r>
      <w:r w:rsidR="00766C47">
        <w:t>will need to be reviewed and updated following the completion of the detailed design</w:t>
      </w:r>
      <w:r>
        <w:t xml:space="preserve"> and members will be updated on the revised cost of the project when Project approval is sought in a further report to Cabinet.</w:t>
      </w:r>
      <w:r w:rsidR="00766C47">
        <w:t xml:space="preserve">  Key issues that could </w:t>
      </w:r>
      <w:r w:rsidR="00617308">
        <w:t>impact costs include</w:t>
      </w:r>
      <w:r w:rsidR="00766C47">
        <w:t>:</w:t>
      </w:r>
    </w:p>
    <w:p w:rsidR="00766C47" w:rsidRDefault="00766C47" w:rsidP="00D16C47">
      <w:pPr>
        <w:pStyle w:val="ListParagraph"/>
        <w:numPr>
          <w:ilvl w:val="0"/>
          <w:numId w:val="7"/>
        </w:numPr>
      </w:pPr>
      <w:r>
        <w:t xml:space="preserve">Residential property values </w:t>
      </w:r>
      <w:r w:rsidR="00617308">
        <w:t>may</w:t>
      </w:r>
      <w:r>
        <w:t xml:space="preserve"> have </w:t>
      </w:r>
      <w:r w:rsidR="00512A83">
        <w:t xml:space="preserve">changed </w:t>
      </w:r>
      <w:r>
        <w:t>since the development was originally proposed</w:t>
      </w:r>
    </w:p>
    <w:p w:rsidR="00766C47" w:rsidRDefault="00766C47" w:rsidP="00D16C47">
      <w:pPr>
        <w:pStyle w:val="ListParagraph"/>
        <w:numPr>
          <w:ilvl w:val="0"/>
          <w:numId w:val="7"/>
        </w:numPr>
      </w:pPr>
      <w:r>
        <w:t>Build cost inflation</w:t>
      </w:r>
    </w:p>
    <w:p w:rsidR="00766C47" w:rsidRDefault="00766C47" w:rsidP="00D16C47">
      <w:pPr>
        <w:pStyle w:val="ListParagraph"/>
        <w:numPr>
          <w:ilvl w:val="0"/>
          <w:numId w:val="7"/>
        </w:numPr>
      </w:pPr>
      <w:r>
        <w:t>The need for all new public buildings to comply with almost zero carbon standards from September 2</w:t>
      </w:r>
      <w:r w:rsidR="007C3988">
        <w:t>019</w:t>
      </w:r>
    </w:p>
    <w:p w:rsidR="007C3988" w:rsidRDefault="007C3988" w:rsidP="00D16C47">
      <w:pPr>
        <w:pStyle w:val="ListParagraph"/>
        <w:numPr>
          <w:ilvl w:val="0"/>
          <w:numId w:val="7"/>
        </w:numPr>
      </w:pPr>
      <w:r>
        <w:t>The cost of project management, design and feasibility not being fully costed as part of the original proposals.</w:t>
      </w:r>
    </w:p>
    <w:p w:rsidR="00D3224D" w:rsidRDefault="00D3224D" w:rsidP="00766C47"/>
    <w:p w:rsidR="00766C47" w:rsidRDefault="00766C47" w:rsidP="00D16C47">
      <w:pPr>
        <w:pStyle w:val="ListParagraph"/>
        <w:numPr>
          <w:ilvl w:val="0"/>
          <w:numId w:val="6"/>
        </w:numPr>
        <w:tabs>
          <w:tab w:val="clear" w:pos="426"/>
        </w:tabs>
        <w:ind w:left="426"/>
      </w:pPr>
      <w:r>
        <w:t xml:space="preserve">There was a delay to the project in 2018 whilst consideration was given to the co-location of </w:t>
      </w:r>
      <w:r w:rsidR="00E658A9">
        <w:t xml:space="preserve">Oxfordshire </w:t>
      </w:r>
      <w:r>
        <w:t xml:space="preserve">County Council </w:t>
      </w:r>
      <w:r w:rsidR="00D3224D">
        <w:t>facilities on site to offset the on-going cost of the community centre</w:t>
      </w:r>
      <w:r>
        <w:t xml:space="preserve"> operations</w:t>
      </w:r>
      <w:r w:rsidR="00D3224D">
        <w:t xml:space="preserve">.  Due to the footprint </w:t>
      </w:r>
      <w:r>
        <w:t xml:space="preserve">and level of dedicated space </w:t>
      </w:r>
      <w:r w:rsidR="00D3224D">
        <w:t xml:space="preserve">the County </w:t>
      </w:r>
      <w:r w:rsidR="00E658A9">
        <w:t xml:space="preserve">Council </w:t>
      </w:r>
      <w:r w:rsidR="00D3224D">
        <w:t xml:space="preserve">required </w:t>
      </w:r>
      <w:r w:rsidR="00A64A11">
        <w:t xml:space="preserve">combined with </w:t>
      </w:r>
      <w:r>
        <w:t xml:space="preserve">the impact it would have on the </w:t>
      </w:r>
      <w:r>
        <w:lastRenderedPageBreak/>
        <w:t>availability</w:t>
      </w:r>
      <w:r w:rsidR="00D3224D">
        <w:t xml:space="preserve"> of community space, </w:t>
      </w:r>
      <w:r w:rsidR="00512A83">
        <w:t xml:space="preserve">the City Council </w:t>
      </w:r>
      <w:r w:rsidR="00D3224D">
        <w:t>decided not to proceed with this option in October 2018.</w:t>
      </w:r>
    </w:p>
    <w:p w:rsidR="00971207" w:rsidRDefault="00971207" w:rsidP="00971207">
      <w:pPr>
        <w:pStyle w:val="ListParagraph"/>
        <w:numPr>
          <w:ilvl w:val="0"/>
          <w:numId w:val="0"/>
        </w:numPr>
        <w:tabs>
          <w:tab w:val="clear" w:pos="426"/>
        </w:tabs>
        <w:ind w:left="426"/>
      </w:pPr>
    </w:p>
    <w:p w:rsidR="00971207" w:rsidRDefault="00971207" w:rsidP="00D16C47">
      <w:pPr>
        <w:pStyle w:val="ListParagraph"/>
        <w:numPr>
          <w:ilvl w:val="0"/>
          <w:numId w:val="6"/>
        </w:numPr>
        <w:tabs>
          <w:tab w:val="clear" w:pos="426"/>
        </w:tabs>
        <w:ind w:left="426"/>
      </w:pPr>
      <w:r>
        <w:t xml:space="preserve">An agreed detailed scheme </w:t>
      </w:r>
      <w:r w:rsidR="008B7A9F">
        <w:t xml:space="preserve">for the Community Centre and associated housing on the Princes Street site </w:t>
      </w:r>
      <w:r>
        <w:t>now needs to be worked up</w:t>
      </w:r>
      <w:r w:rsidR="00512A83">
        <w:t>,</w:t>
      </w:r>
      <w:r>
        <w:t xml:space="preserve"> with the reference group</w:t>
      </w:r>
      <w:r w:rsidR="00512A83">
        <w:t xml:space="preserve"> being an important partner in that discussion</w:t>
      </w:r>
      <w:r>
        <w:t xml:space="preserve">.  </w:t>
      </w:r>
      <w:r w:rsidR="009B38FB">
        <w:t>Allocation of the</w:t>
      </w:r>
      <w:r w:rsidR="00F613BE">
        <w:t xml:space="preserve"> requested</w:t>
      </w:r>
      <w:r w:rsidR="009B38FB">
        <w:t xml:space="preserve"> funds</w:t>
      </w:r>
      <w:r w:rsidR="00F613BE">
        <w:t xml:space="preserve"> for detailed design and feasibility</w:t>
      </w:r>
      <w:r w:rsidR="00512A83">
        <w:t>,</w:t>
      </w:r>
      <w:r w:rsidR="00F613BE">
        <w:t xml:space="preserve"> estimated at £500k</w:t>
      </w:r>
      <w:r w:rsidR="009B38FB">
        <w:t xml:space="preserve">, </w:t>
      </w:r>
      <w:r w:rsidR="00DA6D10">
        <w:t>will</w:t>
      </w:r>
      <w:r>
        <w:t xml:space="preserve"> </w:t>
      </w:r>
      <w:r w:rsidR="008B7A9F">
        <w:t xml:space="preserve">determine whether the proposal is feasible, financially viable and affordable.  If this is the case, then a business case will be prepared to </w:t>
      </w:r>
      <w:r w:rsidR="009B38FB">
        <w:t>Cabinet for</w:t>
      </w:r>
      <w:r>
        <w:t xml:space="preserve"> project </w:t>
      </w:r>
      <w:r w:rsidR="00DA6D10">
        <w:t>approval to award a build contract</w:t>
      </w:r>
      <w:r>
        <w:t xml:space="preserve">.  </w:t>
      </w:r>
      <w:r w:rsidR="00F613BE">
        <w:t>Consultant oversight of the project to occupation will cost an additional £300k.</w:t>
      </w:r>
    </w:p>
    <w:p w:rsidR="009C4201" w:rsidRDefault="009C4201" w:rsidP="009C4201">
      <w:pPr>
        <w:ind w:left="360" w:hanging="360"/>
      </w:pPr>
    </w:p>
    <w:p w:rsidR="009C4201" w:rsidRPr="009C4201" w:rsidRDefault="009C4201" w:rsidP="00D16C47">
      <w:pPr>
        <w:pStyle w:val="ListParagraph"/>
        <w:numPr>
          <w:ilvl w:val="0"/>
          <w:numId w:val="6"/>
        </w:numPr>
        <w:tabs>
          <w:tab w:val="clear" w:pos="426"/>
        </w:tabs>
        <w:ind w:left="426"/>
      </w:pPr>
      <w:r w:rsidRPr="009C4201">
        <w:t>Subject to detailed feasibility, it is intended that any new homes on the Princes Street site will be offered for social rent within the HRA.  Given that new community space must be meet zero carbon or almost zero carbon build standards, there is an opportunity to explore the possibility of building the integrated social housing to a similar standard.  The detailed study will include a full assessment of the feasibility of this aspiration.</w:t>
      </w:r>
    </w:p>
    <w:p w:rsidR="009C4201" w:rsidRDefault="009C4201" w:rsidP="009C4201">
      <w:pPr>
        <w:pStyle w:val="ListParagraph"/>
        <w:numPr>
          <w:ilvl w:val="0"/>
          <w:numId w:val="0"/>
        </w:numPr>
        <w:ind w:left="360"/>
      </w:pPr>
    </w:p>
    <w:p w:rsidR="00865EBD" w:rsidRDefault="00865EBD" w:rsidP="00D16C47">
      <w:pPr>
        <w:pStyle w:val="ListParagraph"/>
        <w:numPr>
          <w:ilvl w:val="0"/>
          <w:numId w:val="6"/>
        </w:numPr>
        <w:tabs>
          <w:tab w:val="clear" w:pos="426"/>
        </w:tabs>
        <w:ind w:left="426"/>
      </w:pPr>
      <w:r>
        <w:t xml:space="preserve">If there are no issues arising from </w:t>
      </w:r>
      <w:r w:rsidR="00A64A11">
        <w:t xml:space="preserve">detailed design, </w:t>
      </w:r>
      <w:r>
        <w:t>feasibility</w:t>
      </w:r>
      <w:r w:rsidR="00A64A11">
        <w:t xml:space="preserve"> </w:t>
      </w:r>
      <w:r>
        <w:t>and consultation, it is anticipated that a</w:t>
      </w:r>
      <w:r w:rsidR="00E658A9">
        <w:t>n</w:t>
      </w:r>
      <w:r>
        <w:t xml:space="preserve"> </w:t>
      </w:r>
      <w:r w:rsidR="00E658A9" w:rsidRPr="00E658A9">
        <w:t xml:space="preserve">application for planning permission </w:t>
      </w:r>
      <w:r w:rsidR="00E658A9">
        <w:t xml:space="preserve">for a </w:t>
      </w:r>
      <w:r>
        <w:t xml:space="preserve">Community Centre </w:t>
      </w:r>
      <w:r w:rsidR="00E658A9">
        <w:t xml:space="preserve">scheme </w:t>
      </w:r>
      <w:r>
        <w:t xml:space="preserve">will be submitted in </w:t>
      </w:r>
      <w:proofErr w:type="gramStart"/>
      <w:r>
        <w:t>Autumn</w:t>
      </w:r>
      <w:proofErr w:type="gramEnd"/>
      <w:r>
        <w:t xml:space="preserve"> 2019.</w:t>
      </w:r>
    </w:p>
    <w:p w:rsidR="00971207" w:rsidRDefault="00971207" w:rsidP="00971207">
      <w:pPr>
        <w:spacing w:after="0"/>
        <w:ind w:left="360" w:right="-20" w:hanging="360"/>
        <w:rPr>
          <w:rFonts w:eastAsia="Arial" w:cs="Arial"/>
          <w:b/>
          <w:bCs/>
        </w:rPr>
      </w:pPr>
    </w:p>
    <w:p w:rsidR="00971207" w:rsidRPr="00971207" w:rsidRDefault="00971207" w:rsidP="00971207">
      <w:pPr>
        <w:spacing w:after="0"/>
        <w:ind w:left="360" w:right="-20" w:hanging="360"/>
        <w:rPr>
          <w:rFonts w:eastAsia="Arial" w:cs="Arial"/>
        </w:rPr>
      </w:pPr>
      <w:r w:rsidRPr="00971207">
        <w:rPr>
          <w:rFonts w:eastAsia="Arial" w:cs="Arial"/>
          <w:b/>
          <w:bCs/>
        </w:rPr>
        <w:t>Procurement process</w:t>
      </w:r>
    </w:p>
    <w:p w:rsidR="00971207" w:rsidRDefault="00971207" w:rsidP="00D16C47">
      <w:pPr>
        <w:pStyle w:val="ListParagraph"/>
        <w:numPr>
          <w:ilvl w:val="0"/>
          <w:numId w:val="6"/>
        </w:numPr>
        <w:tabs>
          <w:tab w:val="clear" w:pos="426"/>
        </w:tabs>
        <w:ind w:left="426"/>
      </w:pPr>
      <w:r>
        <w:t>In December 2018, a procurement exercise</w:t>
      </w:r>
      <w:r w:rsidR="00DF7403">
        <w:t xml:space="preserve"> </w:t>
      </w:r>
      <w:r w:rsidR="0023479E">
        <w:t xml:space="preserve">as set out in the following </w:t>
      </w:r>
      <w:proofErr w:type="gramStart"/>
      <w:r w:rsidR="0023479E">
        <w:t>paragraphs,</w:t>
      </w:r>
      <w:proofErr w:type="gramEnd"/>
      <w:r w:rsidR="0023479E">
        <w:t xml:space="preserve"> </w:t>
      </w:r>
      <w:r>
        <w:t xml:space="preserve">was undertaken </w:t>
      </w:r>
      <w:r w:rsidR="00F83177">
        <w:t xml:space="preserve">for a Dynamic Purchasing System (DPS) framework </w:t>
      </w:r>
      <w:r>
        <w:t xml:space="preserve">to appoint an external design and delivery professional team to design and deliver the community and residential development. </w:t>
      </w:r>
    </w:p>
    <w:p w:rsidR="00971207" w:rsidRDefault="00971207" w:rsidP="00971207">
      <w:pPr>
        <w:ind w:left="66"/>
      </w:pPr>
    </w:p>
    <w:p w:rsidR="00971207" w:rsidRDefault="00971207" w:rsidP="00D16C47">
      <w:pPr>
        <w:pStyle w:val="ListParagraph"/>
        <w:numPr>
          <w:ilvl w:val="0"/>
          <w:numId w:val="6"/>
        </w:numPr>
        <w:tabs>
          <w:tab w:val="clear" w:pos="426"/>
        </w:tabs>
        <w:ind w:left="426"/>
      </w:pPr>
      <w:r>
        <w:t xml:space="preserve">The </w:t>
      </w:r>
      <w:r w:rsidR="00F83177">
        <w:t xml:space="preserve">specification included </w:t>
      </w:r>
      <w:r>
        <w:t xml:space="preserve">all professional services from </w:t>
      </w:r>
      <w:r w:rsidR="00F83177">
        <w:t xml:space="preserve">feasibility </w:t>
      </w:r>
      <w:r>
        <w:t xml:space="preserve">through to practical building completion. This approach was taken to ensure the ability to use the same external advisors throughout the design and delivery process, avoid any delay and to ensure value for money </w:t>
      </w:r>
      <w:r w:rsidR="0023479E">
        <w:t xml:space="preserve">by packaging up the work as a single contract. </w:t>
      </w:r>
    </w:p>
    <w:p w:rsidR="00971207" w:rsidRDefault="00971207" w:rsidP="00971207">
      <w:pPr>
        <w:ind w:left="360" w:hanging="360"/>
      </w:pPr>
    </w:p>
    <w:p w:rsidR="00971207" w:rsidRDefault="00971207" w:rsidP="00D16C47">
      <w:pPr>
        <w:pStyle w:val="ListParagraph"/>
        <w:numPr>
          <w:ilvl w:val="0"/>
          <w:numId w:val="6"/>
        </w:numPr>
        <w:tabs>
          <w:tab w:val="clear" w:pos="426"/>
        </w:tabs>
        <w:ind w:left="426"/>
      </w:pPr>
      <w:r>
        <w:t xml:space="preserve">The appointed </w:t>
      </w:r>
      <w:r w:rsidR="00F83177">
        <w:t xml:space="preserve">supplier </w:t>
      </w:r>
      <w:r>
        <w:t xml:space="preserve">would comprise a lead company bringing in sub-consultants where required. Key requirements of the team are a strong project manager who can proactively manage the diverse </w:t>
      </w:r>
      <w:proofErr w:type="spellStart"/>
      <w:r>
        <w:t>workstreams</w:t>
      </w:r>
      <w:proofErr w:type="spellEnd"/>
      <w:r>
        <w:t xml:space="preserve">, and an architect and team who are experienced in the engagement and design issues associated with community use.  The external </w:t>
      </w:r>
      <w:r w:rsidR="00DF7403">
        <w:t>project manager</w:t>
      </w:r>
      <w:r>
        <w:t xml:space="preserve"> would report to the internal client project manager – providing the latter with a single point of co-ordination and liaison for efficiency. </w:t>
      </w:r>
    </w:p>
    <w:p w:rsidR="00971207" w:rsidRDefault="00971207" w:rsidP="00971207">
      <w:pPr>
        <w:pStyle w:val="ListParagraph"/>
        <w:numPr>
          <w:ilvl w:val="0"/>
          <w:numId w:val="0"/>
        </w:numPr>
        <w:ind w:left="360"/>
      </w:pPr>
    </w:p>
    <w:p w:rsidR="00971207" w:rsidRDefault="00971207" w:rsidP="00D16C47">
      <w:pPr>
        <w:pStyle w:val="ListParagraph"/>
        <w:numPr>
          <w:ilvl w:val="0"/>
          <w:numId w:val="6"/>
        </w:numPr>
        <w:tabs>
          <w:tab w:val="clear" w:pos="426"/>
        </w:tabs>
        <w:ind w:left="426"/>
      </w:pPr>
      <w:r>
        <w:t xml:space="preserve">The Council’s ‘Development Management </w:t>
      </w:r>
      <w:r w:rsidR="00665F7F">
        <w:t xml:space="preserve">(DPS) Framework </w:t>
      </w:r>
      <w:r>
        <w:t xml:space="preserve">was used to procure the relevant team, </w:t>
      </w:r>
      <w:r w:rsidR="00665F7F">
        <w:t xml:space="preserve">via mini competition. The framework was established by the </w:t>
      </w:r>
      <w:r w:rsidR="00665F7F">
        <w:lastRenderedPageBreak/>
        <w:t>Council specifically for the procurement of suppliers for</w:t>
      </w:r>
      <w:r>
        <w:t xml:space="preserve"> </w:t>
      </w:r>
      <w:r w:rsidR="00DF7403">
        <w:t>end to end</w:t>
      </w:r>
      <w:r>
        <w:t xml:space="preserve"> professional services for design/development projects.</w:t>
      </w:r>
    </w:p>
    <w:p w:rsidR="00971207" w:rsidRDefault="00971207" w:rsidP="00971207">
      <w:pPr>
        <w:pStyle w:val="ListParagraph"/>
        <w:numPr>
          <w:ilvl w:val="0"/>
          <w:numId w:val="0"/>
        </w:numPr>
        <w:ind w:left="360"/>
      </w:pPr>
    </w:p>
    <w:p w:rsidR="00971207" w:rsidRDefault="00971207" w:rsidP="00D16C47">
      <w:pPr>
        <w:pStyle w:val="ListParagraph"/>
        <w:numPr>
          <w:ilvl w:val="0"/>
          <w:numId w:val="6"/>
        </w:numPr>
        <w:tabs>
          <w:tab w:val="clear" w:pos="426"/>
        </w:tabs>
        <w:ind w:left="426"/>
      </w:pPr>
      <w:r>
        <w:t>Three companies submitted tenders</w:t>
      </w:r>
      <w:r w:rsidR="007C3988">
        <w:t xml:space="preserve"> in January 2019.  Since then the Communities Team has developed a User Brief and interviews were held in </w:t>
      </w:r>
      <w:r>
        <w:t xml:space="preserve">April 2019 to further evaluate the external teams and their proposals. </w:t>
      </w:r>
    </w:p>
    <w:p w:rsidR="007C3988" w:rsidRDefault="007C3988" w:rsidP="007C3988">
      <w:pPr>
        <w:pStyle w:val="ListParagraph"/>
        <w:numPr>
          <w:ilvl w:val="0"/>
          <w:numId w:val="0"/>
        </w:numPr>
        <w:ind w:left="360"/>
      </w:pPr>
    </w:p>
    <w:p w:rsidR="00A64A11" w:rsidRPr="00640012" w:rsidRDefault="00971207" w:rsidP="00F143CE">
      <w:pPr>
        <w:pStyle w:val="ListParagraph"/>
        <w:numPr>
          <w:ilvl w:val="0"/>
          <w:numId w:val="6"/>
        </w:numPr>
        <w:tabs>
          <w:tab w:val="clear" w:pos="426"/>
        </w:tabs>
        <w:ind w:left="426"/>
        <w:rPr>
          <w:iCs/>
        </w:rPr>
      </w:pPr>
      <w:r>
        <w:t>The tenders were scored using the Council’s standard scoring mechanisms on the basis of the D</w:t>
      </w:r>
      <w:r w:rsidR="008273C2">
        <w:t>PS</w:t>
      </w:r>
      <w:r>
        <w:t xml:space="preserve"> 70</w:t>
      </w:r>
      <w:r w:rsidR="00DF7403">
        <w:t>%</w:t>
      </w:r>
      <w:r w:rsidR="00106FC1">
        <w:t xml:space="preserve"> </w:t>
      </w:r>
      <w:r>
        <w:t>(price):30</w:t>
      </w:r>
      <w:r w:rsidR="00DF7403">
        <w:t>%</w:t>
      </w:r>
      <w:r w:rsidR="00106FC1">
        <w:t xml:space="preserve"> </w:t>
      </w:r>
      <w:r>
        <w:t>(quality) weighting</w:t>
      </w:r>
      <w:r w:rsidR="007C3988">
        <w:t xml:space="preserve">.  </w:t>
      </w:r>
      <w:r w:rsidR="008273C2">
        <w:rPr>
          <w:rFonts w:cs="Arial"/>
        </w:rPr>
        <w:t>The Procurement rules allow for the evaluation criteria to be varied from the standard 60/40 quality price split</w:t>
      </w:r>
      <w:r w:rsidR="00A64A11">
        <w:rPr>
          <w:rFonts w:cs="Arial"/>
        </w:rPr>
        <w:t xml:space="preserve"> when this framework is used. The </w:t>
      </w:r>
      <w:r w:rsidR="008273C2">
        <w:rPr>
          <w:rFonts w:cs="Arial"/>
        </w:rPr>
        <w:t>use of a framework has already established the quality of the suppliers being invited to tender through the mini competi</w:t>
      </w:r>
      <w:r w:rsidR="00DF7403">
        <w:rPr>
          <w:rFonts w:cs="Arial"/>
        </w:rPr>
        <w:t>ti</w:t>
      </w:r>
      <w:r w:rsidR="008273C2">
        <w:rPr>
          <w:rFonts w:cs="Arial"/>
        </w:rPr>
        <w:t xml:space="preserve">on and consequently a split of 70/30 in favour of price is </w:t>
      </w:r>
      <w:r w:rsidR="0023479E">
        <w:rPr>
          <w:rFonts w:cs="Arial"/>
        </w:rPr>
        <w:t>used for contracts like this.</w:t>
      </w:r>
    </w:p>
    <w:p w:rsidR="00A64A11" w:rsidRPr="00640012" w:rsidRDefault="00A64A11" w:rsidP="00F143CE">
      <w:pPr>
        <w:pStyle w:val="ListParagraph"/>
        <w:numPr>
          <w:ilvl w:val="0"/>
          <w:numId w:val="0"/>
        </w:numPr>
        <w:ind w:left="360"/>
        <w:rPr>
          <w:rFonts w:cs="Arial"/>
        </w:rPr>
      </w:pPr>
    </w:p>
    <w:p w:rsidR="007C3988" w:rsidRDefault="00A64A11" w:rsidP="00F143CE">
      <w:pPr>
        <w:pStyle w:val="ListParagraph"/>
        <w:numPr>
          <w:ilvl w:val="0"/>
          <w:numId w:val="6"/>
        </w:numPr>
        <w:tabs>
          <w:tab w:val="clear" w:pos="426"/>
        </w:tabs>
        <w:ind w:left="426"/>
      </w:pPr>
      <w:r>
        <w:rPr>
          <w:rFonts w:cs="Arial"/>
        </w:rPr>
        <w:t xml:space="preserve"> </w:t>
      </w:r>
      <w:proofErr w:type="spellStart"/>
      <w:r w:rsidR="00971207">
        <w:t>Arcadis</w:t>
      </w:r>
      <w:proofErr w:type="spellEnd"/>
      <w:r w:rsidR="00971207">
        <w:t xml:space="preserve"> have been selected as the preferred consultant team.    </w:t>
      </w:r>
    </w:p>
    <w:p w:rsidR="007C3988" w:rsidRDefault="007C3988" w:rsidP="007C3988">
      <w:pPr>
        <w:pStyle w:val="ListParagraph"/>
        <w:numPr>
          <w:ilvl w:val="0"/>
          <w:numId w:val="0"/>
        </w:numPr>
        <w:ind w:left="360"/>
      </w:pPr>
    </w:p>
    <w:p w:rsidR="00DA6D10" w:rsidRDefault="00DA6D10" w:rsidP="00D16C47">
      <w:pPr>
        <w:pStyle w:val="ListParagraph"/>
        <w:numPr>
          <w:ilvl w:val="0"/>
          <w:numId w:val="6"/>
        </w:numPr>
        <w:tabs>
          <w:tab w:val="clear" w:pos="426"/>
        </w:tabs>
        <w:ind w:left="426"/>
      </w:pPr>
      <w:r>
        <w:t xml:space="preserve">The design / delivery team appointment and contract would be structured so that the work is undertaken in stages such that the Council </w:t>
      </w:r>
      <w:r w:rsidR="00106FC1">
        <w:t>is</w:t>
      </w:r>
      <w:r>
        <w:t xml:space="preserve"> only committed to one stage and the relevant fee expenditure at any point in time.  This would broadly follow the </w:t>
      </w:r>
      <w:r w:rsidR="00895F9A">
        <w:t>Royal Institute of British Architects (</w:t>
      </w:r>
      <w:r>
        <w:t>RIBA</w:t>
      </w:r>
      <w:r w:rsidR="00895F9A">
        <w:t>)</w:t>
      </w:r>
      <w:r>
        <w:t xml:space="preserve"> stages of design/ build.  The cost breakdown is estimated as:</w:t>
      </w:r>
    </w:p>
    <w:p w:rsidR="00DA6D10" w:rsidRDefault="00DA6D10" w:rsidP="00D16C47">
      <w:pPr>
        <w:pStyle w:val="ListParagraph"/>
        <w:numPr>
          <w:ilvl w:val="0"/>
          <w:numId w:val="8"/>
        </w:numPr>
      </w:pPr>
      <w:r>
        <w:t xml:space="preserve">Detailed feasibility, design, and </w:t>
      </w:r>
      <w:r w:rsidR="00895F9A">
        <w:t xml:space="preserve">preparing an application for </w:t>
      </w:r>
      <w:r>
        <w:t xml:space="preserve">planning permission </w:t>
      </w:r>
      <w:r w:rsidR="00F613BE">
        <w:t>(</w:t>
      </w:r>
      <w:r>
        <w:t>£500k</w:t>
      </w:r>
      <w:r w:rsidR="00F613BE">
        <w:t>)</w:t>
      </w:r>
    </w:p>
    <w:p w:rsidR="007C3988" w:rsidRDefault="00895F9A" w:rsidP="00D16C47">
      <w:pPr>
        <w:pStyle w:val="ListParagraph"/>
        <w:numPr>
          <w:ilvl w:val="0"/>
          <w:numId w:val="8"/>
        </w:numPr>
      </w:pPr>
      <w:r>
        <w:t>Preparing a d</w:t>
      </w:r>
      <w:r w:rsidR="00DA6D10">
        <w:t xml:space="preserve">etailed specification, build tender and </w:t>
      </w:r>
      <w:r>
        <w:t xml:space="preserve">project </w:t>
      </w:r>
      <w:r w:rsidR="00DA6D10">
        <w:t xml:space="preserve">oversight </w:t>
      </w:r>
      <w:r w:rsidR="00F613BE">
        <w:t>(</w:t>
      </w:r>
      <w:r w:rsidR="00DA6D10">
        <w:t>£300k</w:t>
      </w:r>
      <w:r w:rsidR="00F613BE">
        <w:t>)</w:t>
      </w:r>
    </w:p>
    <w:p w:rsidR="00DA6D10" w:rsidRPr="00DA6D10" w:rsidRDefault="00DA6D10" w:rsidP="00DA6D10">
      <w:pPr>
        <w:pStyle w:val="ListParagraph"/>
        <w:numPr>
          <w:ilvl w:val="0"/>
          <w:numId w:val="0"/>
        </w:numPr>
        <w:ind w:left="1080"/>
      </w:pPr>
    </w:p>
    <w:p w:rsidR="00971207" w:rsidRDefault="00DA6D10" w:rsidP="00D16C47">
      <w:pPr>
        <w:pStyle w:val="ListParagraph"/>
        <w:numPr>
          <w:ilvl w:val="0"/>
          <w:numId w:val="6"/>
        </w:numPr>
        <w:tabs>
          <w:tab w:val="clear" w:pos="426"/>
        </w:tabs>
        <w:ind w:left="426"/>
        <w:rPr>
          <w:iCs/>
        </w:rPr>
      </w:pPr>
      <w:r w:rsidRPr="00DA6D10">
        <w:rPr>
          <w:iCs/>
        </w:rPr>
        <w:t xml:space="preserve">Work will be appointed in stages and </w:t>
      </w:r>
      <w:r w:rsidR="00895F9A">
        <w:rPr>
          <w:iCs/>
        </w:rPr>
        <w:t xml:space="preserve">the Council </w:t>
      </w:r>
      <w:r w:rsidRPr="00DA6D10">
        <w:rPr>
          <w:iCs/>
        </w:rPr>
        <w:t>reserve</w:t>
      </w:r>
      <w:r w:rsidR="00895F9A">
        <w:rPr>
          <w:iCs/>
        </w:rPr>
        <w:t>s</w:t>
      </w:r>
      <w:r w:rsidRPr="00DA6D10">
        <w:rPr>
          <w:iCs/>
        </w:rPr>
        <w:t xml:space="preserve"> the right to terminate </w:t>
      </w:r>
      <w:r w:rsidR="00895F9A">
        <w:rPr>
          <w:iCs/>
        </w:rPr>
        <w:t xml:space="preserve">the contract </w:t>
      </w:r>
      <w:r w:rsidRPr="00DA6D10">
        <w:rPr>
          <w:iCs/>
        </w:rPr>
        <w:t xml:space="preserve">at any point, subject to payment for services already satisfactorily undertaken.  </w:t>
      </w:r>
      <w:r w:rsidR="00895F9A">
        <w:rPr>
          <w:iCs/>
        </w:rPr>
        <w:t>It should be</w:t>
      </w:r>
      <w:r>
        <w:rPr>
          <w:iCs/>
        </w:rPr>
        <w:t xml:space="preserve"> note</w:t>
      </w:r>
      <w:r w:rsidR="00895F9A">
        <w:rPr>
          <w:iCs/>
        </w:rPr>
        <w:t>d</w:t>
      </w:r>
      <w:r>
        <w:rPr>
          <w:iCs/>
        </w:rPr>
        <w:t xml:space="preserve"> that </w:t>
      </w:r>
      <w:r w:rsidR="00971207" w:rsidRPr="00DA6D10">
        <w:rPr>
          <w:iCs/>
        </w:rPr>
        <w:t xml:space="preserve">detailed feasibility work may result in a scheme not progressing beyond that stage. </w:t>
      </w:r>
    </w:p>
    <w:p w:rsidR="00A64A11" w:rsidRDefault="00A64A11" w:rsidP="00F143CE">
      <w:pPr>
        <w:ind w:left="360" w:hanging="360"/>
        <w:rPr>
          <w:rFonts w:eastAsia="Arial" w:cs="Arial"/>
          <w:b/>
          <w:bCs/>
        </w:rPr>
      </w:pPr>
    </w:p>
    <w:p w:rsidR="00A64A11" w:rsidRPr="00640012" w:rsidRDefault="00A64A11" w:rsidP="00F143CE">
      <w:pPr>
        <w:ind w:left="360" w:hanging="360"/>
        <w:rPr>
          <w:rFonts w:eastAsia="Arial" w:cs="Arial"/>
        </w:rPr>
      </w:pPr>
      <w:r w:rsidRPr="00F143CE">
        <w:rPr>
          <w:rFonts w:eastAsia="Arial" w:cs="Arial"/>
          <w:b/>
          <w:bCs/>
        </w:rPr>
        <w:t>Financial</w:t>
      </w:r>
      <w:r w:rsidRPr="00F143CE">
        <w:rPr>
          <w:rFonts w:eastAsia="Arial" w:cs="Arial"/>
          <w:b/>
          <w:bCs/>
          <w:spacing w:val="-10"/>
        </w:rPr>
        <w:t xml:space="preserve"> </w:t>
      </w:r>
      <w:r w:rsidRPr="00F143CE">
        <w:rPr>
          <w:rFonts w:eastAsia="Arial" w:cs="Arial"/>
          <w:b/>
          <w:bCs/>
        </w:rPr>
        <w:t>implications</w:t>
      </w:r>
    </w:p>
    <w:p w:rsidR="00DA6D10" w:rsidRPr="00640012" w:rsidRDefault="00895F9A" w:rsidP="00F143CE">
      <w:pPr>
        <w:pStyle w:val="ListParagraph"/>
        <w:numPr>
          <w:ilvl w:val="0"/>
          <w:numId w:val="6"/>
        </w:numPr>
        <w:tabs>
          <w:tab w:val="clear" w:pos="426"/>
        </w:tabs>
        <w:ind w:left="426"/>
        <w:rPr>
          <w:iCs/>
        </w:rPr>
      </w:pPr>
      <w:r>
        <w:rPr>
          <w:rFonts w:cs="Arial"/>
        </w:rPr>
        <w:t>Council through t</w:t>
      </w:r>
      <w:r w:rsidR="00505EEA" w:rsidRPr="00A449B4">
        <w:rPr>
          <w:rFonts w:cs="Arial"/>
        </w:rPr>
        <w:t>he Mediu</w:t>
      </w:r>
      <w:r w:rsidR="00F143CE">
        <w:rPr>
          <w:rFonts w:cs="Arial"/>
        </w:rPr>
        <w:t>m T</w:t>
      </w:r>
      <w:r w:rsidR="00505EEA" w:rsidRPr="00A449B4">
        <w:rPr>
          <w:rFonts w:cs="Arial"/>
        </w:rPr>
        <w:t xml:space="preserve">erm Financial Plan and </w:t>
      </w:r>
      <w:r w:rsidR="00BB7A9C" w:rsidRPr="00A449B4">
        <w:rPr>
          <w:rFonts w:cs="Arial"/>
        </w:rPr>
        <w:t xml:space="preserve">2017/18 </w:t>
      </w:r>
      <w:r w:rsidR="00505EEA" w:rsidRPr="00A449B4">
        <w:rPr>
          <w:rFonts w:cs="Arial"/>
        </w:rPr>
        <w:t xml:space="preserve">Capital Projects </w:t>
      </w:r>
      <w:proofErr w:type="gramStart"/>
      <w:r w:rsidR="00505EEA" w:rsidRPr="00A449B4">
        <w:rPr>
          <w:rFonts w:cs="Arial"/>
        </w:rPr>
        <w:t>Programme</w:t>
      </w:r>
      <w:r w:rsidR="00F143CE">
        <w:rPr>
          <w:rFonts w:cs="Arial"/>
        </w:rPr>
        <w:t>,</w:t>
      </w:r>
      <w:proofErr w:type="gramEnd"/>
      <w:r w:rsidR="00505EEA" w:rsidRPr="00A449B4">
        <w:rPr>
          <w:rFonts w:cs="Arial"/>
        </w:rPr>
        <w:t xml:space="preserve"> </w:t>
      </w:r>
      <w:r w:rsidR="00617308" w:rsidRPr="00A449B4">
        <w:rPr>
          <w:rFonts w:cs="Arial"/>
        </w:rPr>
        <w:t>originally</w:t>
      </w:r>
      <w:r w:rsidR="00505EEA" w:rsidRPr="00A449B4">
        <w:rPr>
          <w:rFonts w:cs="Arial"/>
        </w:rPr>
        <w:t xml:space="preserve"> approved </w:t>
      </w:r>
      <w:r w:rsidR="00BB7A9C" w:rsidRPr="00A449B4">
        <w:rPr>
          <w:rFonts w:cs="Arial"/>
        </w:rPr>
        <w:t xml:space="preserve">a total </w:t>
      </w:r>
      <w:r w:rsidR="00617308" w:rsidRPr="00A449B4">
        <w:rPr>
          <w:rFonts w:cs="Arial"/>
        </w:rPr>
        <w:t xml:space="preserve">budget of £4 </w:t>
      </w:r>
      <w:r w:rsidR="00505EEA" w:rsidRPr="00A449B4">
        <w:rPr>
          <w:rFonts w:cs="Arial"/>
        </w:rPr>
        <w:t>million</w:t>
      </w:r>
      <w:r w:rsidR="00617308" w:rsidRPr="00A449B4">
        <w:rPr>
          <w:rFonts w:cs="Arial"/>
        </w:rPr>
        <w:t xml:space="preserve"> to complete the project</w:t>
      </w:r>
      <w:r w:rsidR="00505EEA" w:rsidRPr="00A449B4">
        <w:rPr>
          <w:rFonts w:cs="Arial"/>
        </w:rPr>
        <w:t>.</w:t>
      </w:r>
      <w:r w:rsidR="00617308" w:rsidRPr="00A449B4">
        <w:rPr>
          <w:rFonts w:cs="Arial"/>
        </w:rPr>
        <w:t xml:space="preserve">  </w:t>
      </w:r>
      <w:r w:rsidR="00A0210E" w:rsidRPr="00A449B4">
        <w:rPr>
          <w:rFonts w:cs="Arial"/>
        </w:rPr>
        <w:t>Paragraph 18.12 of the Council</w:t>
      </w:r>
      <w:r w:rsidR="009901A3">
        <w:rPr>
          <w:rFonts w:cs="Arial"/>
        </w:rPr>
        <w:t>’</w:t>
      </w:r>
      <w:r w:rsidR="00A0210E" w:rsidRPr="00A449B4">
        <w:rPr>
          <w:rFonts w:cs="Arial"/>
        </w:rPr>
        <w:t xml:space="preserve">s Constitution requires that project approval is sought from </w:t>
      </w:r>
      <w:r>
        <w:rPr>
          <w:rFonts w:cs="Arial"/>
        </w:rPr>
        <w:t>Cabinet</w:t>
      </w:r>
      <w:r w:rsidR="00A0210E" w:rsidRPr="00A449B4">
        <w:rPr>
          <w:rFonts w:cs="Arial"/>
        </w:rPr>
        <w:t xml:space="preserve"> for all projects in excess of £500k. Since the</w:t>
      </w:r>
      <w:r w:rsidR="001B5B07">
        <w:rPr>
          <w:rFonts w:cs="Arial"/>
        </w:rPr>
        <w:t xml:space="preserve"> work will cover detailed f</w:t>
      </w:r>
      <w:r w:rsidR="009901A3">
        <w:rPr>
          <w:rFonts w:cs="Arial"/>
        </w:rPr>
        <w:t>easibility and design through to oversight o</w:t>
      </w:r>
      <w:r w:rsidR="00A64A11">
        <w:rPr>
          <w:rFonts w:cs="Arial"/>
        </w:rPr>
        <w:t>f</w:t>
      </w:r>
      <w:r w:rsidR="009901A3">
        <w:rPr>
          <w:rFonts w:cs="Arial"/>
        </w:rPr>
        <w:t xml:space="preserve"> the build and occupation of the buildings, totalling £800k, approval</w:t>
      </w:r>
      <w:r w:rsidR="00A0210E" w:rsidRPr="00A449B4">
        <w:rPr>
          <w:rFonts w:cs="Arial"/>
        </w:rPr>
        <w:t xml:space="preserve"> </w:t>
      </w:r>
      <w:r w:rsidR="00A449B4" w:rsidRPr="00A449B4">
        <w:rPr>
          <w:rFonts w:cs="Arial"/>
        </w:rPr>
        <w:t>is sought from Cabinet</w:t>
      </w:r>
      <w:r w:rsidR="001B5B07">
        <w:rPr>
          <w:rFonts w:cs="Arial"/>
        </w:rPr>
        <w:t xml:space="preserve"> to commission this work to take the project forward.  </w:t>
      </w:r>
      <w:r w:rsidR="00A449B4" w:rsidRPr="00A449B4">
        <w:rPr>
          <w:rFonts w:cs="Arial"/>
        </w:rPr>
        <w:t xml:space="preserve"> </w:t>
      </w:r>
      <w:r w:rsidR="001B5B07">
        <w:rPr>
          <w:rFonts w:cs="Arial"/>
        </w:rPr>
        <w:t xml:space="preserve"> Once </w:t>
      </w:r>
      <w:r w:rsidR="00527C79">
        <w:rPr>
          <w:rFonts w:cs="Arial"/>
        </w:rPr>
        <w:t xml:space="preserve">feasibility and design </w:t>
      </w:r>
      <w:r w:rsidR="001B5B07">
        <w:rPr>
          <w:rFonts w:cs="Arial"/>
        </w:rPr>
        <w:t xml:space="preserve">work has progressed to the point that a </w:t>
      </w:r>
      <w:r w:rsidR="00A449B4" w:rsidRPr="00A449B4">
        <w:rPr>
          <w:rFonts w:cs="Arial"/>
        </w:rPr>
        <w:t>Full Business Case</w:t>
      </w:r>
      <w:r w:rsidR="001B5B07">
        <w:rPr>
          <w:rFonts w:cs="Arial"/>
        </w:rPr>
        <w:t xml:space="preserve"> including updated</w:t>
      </w:r>
      <w:r w:rsidR="00A449B4" w:rsidRPr="00A449B4">
        <w:rPr>
          <w:rFonts w:cs="Arial"/>
        </w:rPr>
        <w:t xml:space="preserve"> costings</w:t>
      </w:r>
      <w:r w:rsidR="001B5B07">
        <w:rPr>
          <w:rFonts w:cs="Arial"/>
        </w:rPr>
        <w:t>, can be pre</w:t>
      </w:r>
      <w:r w:rsidR="00527C79">
        <w:rPr>
          <w:rFonts w:cs="Arial"/>
        </w:rPr>
        <w:t>sented</w:t>
      </w:r>
      <w:r w:rsidR="001B5B07">
        <w:rPr>
          <w:rFonts w:cs="Arial"/>
        </w:rPr>
        <w:t xml:space="preserve">, </w:t>
      </w:r>
      <w:r w:rsidR="00A449B4" w:rsidRPr="00A449B4">
        <w:rPr>
          <w:rFonts w:cs="Arial"/>
        </w:rPr>
        <w:t xml:space="preserve">approval will be sought from Cabinet </w:t>
      </w:r>
      <w:r w:rsidR="001B5B07">
        <w:rPr>
          <w:rFonts w:cs="Arial"/>
        </w:rPr>
        <w:t>for</w:t>
      </w:r>
      <w:r w:rsidR="00A449B4" w:rsidRPr="00A449B4">
        <w:rPr>
          <w:rFonts w:cs="Arial"/>
        </w:rPr>
        <w:t xml:space="preserve"> the whole </w:t>
      </w:r>
      <w:r w:rsidR="00A449B4">
        <w:rPr>
          <w:rFonts w:cs="Arial"/>
        </w:rPr>
        <w:t xml:space="preserve">East Oxford Community Centre </w:t>
      </w:r>
      <w:r w:rsidR="00A449B4" w:rsidRPr="00A449B4">
        <w:rPr>
          <w:rFonts w:cs="Arial"/>
        </w:rPr>
        <w:t>scheme</w:t>
      </w:r>
      <w:r w:rsidR="00A449B4">
        <w:rPr>
          <w:rFonts w:cs="Arial"/>
        </w:rPr>
        <w:t>.</w:t>
      </w:r>
      <w:r w:rsidR="00A0210E" w:rsidRPr="00A449B4">
        <w:rPr>
          <w:rFonts w:cs="Arial"/>
        </w:rPr>
        <w:t xml:space="preserve"> </w:t>
      </w:r>
    </w:p>
    <w:p w:rsidR="00A64A11" w:rsidRPr="00A449B4" w:rsidRDefault="00A64A11">
      <w:pPr>
        <w:pStyle w:val="ListParagraph"/>
        <w:numPr>
          <w:ilvl w:val="0"/>
          <w:numId w:val="0"/>
        </w:numPr>
        <w:tabs>
          <w:tab w:val="clear" w:pos="426"/>
        </w:tabs>
        <w:ind w:left="426"/>
        <w:rPr>
          <w:iCs/>
        </w:rPr>
      </w:pPr>
    </w:p>
    <w:p w:rsidR="00DA6D10" w:rsidRPr="00F143CE" w:rsidRDefault="00505EEA" w:rsidP="00D16C47">
      <w:pPr>
        <w:pStyle w:val="ListParagraph"/>
        <w:numPr>
          <w:ilvl w:val="0"/>
          <w:numId w:val="6"/>
        </w:numPr>
        <w:tabs>
          <w:tab w:val="clear" w:pos="426"/>
        </w:tabs>
        <w:ind w:left="426"/>
        <w:rPr>
          <w:iCs/>
        </w:rPr>
      </w:pPr>
      <w:r w:rsidRPr="00DA6D10">
        <w:rPr>
          <w:rFonts w:cs="Arial"/>
        </w:rPr>
        <w:lastRenderedPageBreak/>
        <w:t xml:space="preserve">The value of the land </w:t>
      </w:r>
      <w:r w:rsidR="00A449B4">
        <w:rPr>
          <w:rFonts w:cs="Arial"/>
        </w:rPr>
        <w:t>rel</w:t>
      </w:r>
      <w:r w:rsidR="009901A3">
        <w:rPr>
          <w:rFonts w:cs="Arial"/>
        </w:rPr>
        <w:t>e</w:t>
      </w:r>
      <w:r w:rsidR="00A449B4">
        <w:rPr>
          <w:rFonts w:cs="Arial"/>
        </w:rPr>
        <w:t>ased</w:t>
      </w:r>
      <w:r w:rsidR="001B5B07">
        <w:rPr>
          <w:rFonts w:cs="Arial"/>
        </w:rPr>
        <w:t xml:space="preserve"> for housing</w:t>
      </w:r>
      <w:r w:rsidR="00A449B4">
        <w:rPr>
          <w:rFonts w:cs="Arial"/>
        </w:rPr>
        <w:t xml:space="preserve"> </w:t>
      </w:r>
      <w:r w:rsidRPr="00DA6D10">
        <w:rPr>
          <w:rFonts w:cs="Arial"/>
        </w:rPr>
        <w:t xml:space="preserve">is </w:t>
      </w:r>
      <w:r w:rsidR="00BB7A9C" w:rsidRPr="00DA6D10">
        <w:rPr>
          <w:rFonts w:cs="Arial"/>
        </w:rPr>
        <w:t xml:space="preserve">estimated at </w:t>
      </w:r>
      <w:r w:rsidRPr="00DA6D10">
        <w:rPr>
          <w:rFonts w:cs="Arial"/>
        </w:rPr>
        <w:t>£</w:t>
      </w:r>
      <w:r w:rsidR="00617308" w:rsidRPr="00DA6D10">
        <w:rPr>
          <w:rFonts w:cs="Arial"/>
        </w:rPr>
        <w:t>2.6m</w:t>
      </w:r>
      <w:r w:rsidR="001B5B07">
        <w:rPr>
          <w:rFonts w:cs="Arial"/>
        </w:rPr>
        <w:t>,</w:t>
      </w:r>
      <w:r w:rsidR="00617308" w:rsidRPr="00DA6D10">
        <w:rPr>
          <w:rFonts w:cs="Arial"/>
        </w:rPr>
        <w:t xml:space="preserve"> </w:t>
      </w:r>
      <w:r w:rsidR="00A449B4">
        <w:rPr>
          <w:rFonts w:cs="Arial"/>
        </w:rPr>
        <w:t>which will provide part funding for the scheme</w:t>
      </w:r>
      <w:r w:rsidR="001B5B07">
        <w:rPr>
          <w:rFonts w:cs="Arial"/>
        </w:rPr>
        <w:t>.</w:t>
      </w:r>
      <w:r w:rsidR="00A449B4">
        <w:rPr>
          <w:rFonts w:cs="Arial"/>
        </w:rPr>
        <w:t xml:space="preserve"> </w:t>
      </w:r>
      <w:r w:rsidRPr="00DA6D10">
        <w:rPr>
          <w:rFonts w:cs="Arial"/>
        </w:rPr>
        <w:t xml:space="preserve"> </w:t>
      </w:r>
    </w:p>
    <w:p w:rsidR="00F143CE" w:rsidRDefault="00F143CE" w:rsidP="00F143CE">
      <w:pPr>
        <w:ind w:left="360" w:hanging="360"/>
        <w:rPr>
          <w:rFonts w:cs="Arial"/>
          <w:b/>
        </w:rPr>
      </w:pPr>
    </w:p>
    <w:p w:rsidR="00F143CE" w:rsidRPr="00F143CE" w:rsidRDefault="00F143CE" w:rsidP="00F143CE">
      <w:pPr>
        <w:ind w:left="360" w:hanging="360"/>
        <w:rPr>
          <w:iCs/>
        </w:rPr>
      </w:pPr>
      <w:r w:rsidRPr="00F143CE">
        <w:rPr>
          <w:rFonts w:cs="Arial"/>
          <w:b/>
        </w:rPr>
        <w:t>Legal Implications</w:t>
      </w:r>
    </w:p>
    <w:p w:rsidR="0092443B" w:rsidRDefault="0092443B" w:rsidP="00F143CE">
      <w:pPr>
        <w:pStyle w:val="ListParagraph"/>
        <w:numPr>
          <w:ilvl w:val="0"/>
          <w:numId w:val="6"/>
        </w:numPr>
        <w:tabs>
          <w:tab w:val="clear" w:pos="426"/>
        </w:tabs>
        <w:ind w:left="426"/>
      </w:pPr>
      <w:r w:rsidRPr="00F143CE">
        <w:t xml:space="preserve">By virtue of Section 19 of the Local Government </w:t>
      </w:r>
      <w:r w:rsidR="00C941C9" w:rsidRPr="00F143CE">
        <w:rPr>
          <w:bCs/>
        </w:rPr>
        <w:t>(Miscellaneous Provisions) Act 1976 the Council</w:t>
      </w:r>
      <w:r w:rsidRPr="00F143CE">
        <w:t xml:space="preserve"> </w:t>
      </w:r>
      <w:r w:rsidR="00527C79" w:rsidRPr="00F143CE">
        <w:t xml:space="preserve">has discretion to </w:t>
      </w:r>
      <w:r w:rsidRPr="00F143CE">
        <w:t xml:space="preserve">provide, inside or outside its area, such recreational facilities as it thinks fit and those powers </w:t>
      </w:r>
      <w:r w:rsidR="00C941C9" w:rsidRPr="00F143CE">
        <w:t xml:space="preserve">specifically include </w:t>
      </w:r>
      <w:r w:rsidRPr="00F143CE">
        <w:t xml:space="preserve">powers to provide indoor facilities </w:t>
      </w:r>
      <w:r w:rsidR="00C941C9" w:rsidRPr="00F143CE">
        <w:t xml:space="preserve">for sports activities as well as premises </w:t>
      </w:r>
      <w:r w:rsidRPr="00F143CE">
        <w:t>for the use of clubs or societies having athletic, social or recreational objects</w:t>
      </w:r>
      <w:r w:rsidR="00527C79" w:rsidRPr="00F143CE">
        <w:t xml:space="preserve"> and sta</w:t>
      </w:r>
      <w:r w:rsidRPr="00F143CE">
        <w:t xml:space="preserve">ff, including instructors, in connection with any such facilities or premises </w:t>
      </w:r>
      <w:r w:rsidR="00527C79" w:rsidRPr="00F143CE">
        <w:t>provided</w:t>
      </w:r>
      <w:r w:rsidRPr="00F143CE">
        <w:t xml:space="preserve"> by the </w:t>
      </w:r>
      <w:r w:rsidR="00527C79" w:rsidRPr="00F143CE">
        <w:t>Council</w:t>
      </w:r>
      <w:r w:rsidRPr="00F143CE">
        <w:t>;</w:t>
      </w:r>
      <w:r w:rsidR="00527C79" w:rsidRPr="00F143CE">
        <w:t xml:space="preserve"> This power would encompass the work proposed to be undertaken in this report in relation to the provision of an enhanced community  centre in East Oxford.</w:t>
      </w:r>
    </w:p>
    <w:p w:rsidR="00F143CE" w:rsidRDefault="00F143CE" w:rsidP="00F143CE">
      <w:pPr>
        <w:pStyle w:val="ListParagraph"/>
        <w:numPr>
          <w:ilvl w:val="0"/>
          <w:numId w:val="0"/>
        </w:numPr>
        <w:tabs>
          <w:tab w:val="clear" w:pos="426"/>
        </w:tabs>
        <w:ind w:left="426"/>
      </w:pPr>
    </w:p>
    <w:p w:rsidR="00DA6D10" w:rsidRDefault="00505EEA" w:rsidP="00F143CE">
      <w:pPr>
        <w:pStyle w:val="ListParagraph"/>
        <w:numPr>
          <w:ilvl w:val="0"/>
          <w:numId w:val="6"/>
        </w:numPr>
        <w:tabs>
          <w:tab w:val="clear" w:pos="426"/>
        </w:tabs>
        <w:ind w:left="426"/>
        <w:rPr>
          <w:rFonts w:cs="Arial"/>
        </w:rPr>
      </w:pPr>
      <w:r w:rsidRPr="00665F7F">
        <w:rPr>
          <w:rFonts w:cs="Arial"/>
        </w:rPr>
        <w:t xml:space="preserve">The </w:t>
      </w:r>
      <w:r w:rsidR="00527C79">
        <w:rPr>
          <w:rFonts w:cs="Arial"/>
        </w:rPr>
        <w:t xml:space="preserve">Consultant team – </w:t>
      </w:r>
      <w:proofErr w:type="spellStart"/>
      <w:r w:rsidR="00527C79">
        <w:rPr>
          <w:rFonts w:cs="Arial"/>
        </w:rPr>
        <w:t>Arcadis</w:t>
      </w:r>
      <w:proofErr w:type="spellEnd"/>
      <w:r w:rsidR="00527C79">
        <w:rPr>
          <w:rFonts w:cs="Arial"/>
        </w:rPr>
        <w:t xml:space="preserve"> has been procured</w:t>
      </w:r>
      <w:r w:rsidRPr="00665F7F">
        <w:rPr>
          <w:rFonts w:cs="Arial"/>
        </w:rPr>
        <w:t xml:space="preserve"> in accordance with the Council’s </w:t>
      </w:r>
      <w:r w:rsidR="00527C79">
        <w:rPr>
          <w:rFonts w:cs="Arial"/>
        </w:rPr>
        <w:t>Contract</w:t>
      </w:r>
      <w:r w:rsidRPr="008273C2">
        <w:rPr>
          <w:rFonts w:cs="Arial"/>
        </w:rPr>
        <w:t xml:space="preserve"> rules</w:t>
      </w:r>
      <w:r w:rsidR="00527C79">
        <w:rPr>
          <w:rFonts w:cs="Arial"/>
        </w:rPr>
        <w:t xml:space="preserve"> </w:t>
      </w:r>
      <w:r w:rsidR="00495825">
        <w:rPr>
          <w:rFonts w:cs="Arial"/>
        </w:rPr>
        <w:t>by establishing a dynamic purchasing sy</w:t>
      </w:r>
      <w:r w:rsidR="00F143CE">
        <w:rPr>
          <w:rFonts w:cs="Arial"/>
        </w:rPr>
        <w:t>s</w:t>
      </w:r>
      <w:r w:rsidR="00495825">
        <w:rPr>
          <w:rFonts w:cs="Arial"/>
        </w:rPr>
        <w:t xml:space="preserve">tem framework </w:t>
      </w:r>
      <w:r w:rsidR="00527C79">
        <w:rPr>
          <w:rFonts w:cs="Arial"/>
        </w:rPr>
        <w:t xml:space="preserve">set out in </w:t>
      </w:r>
      <w:r w:rsidR="00495825">
        <w:rPr>
          <w:rFonts w:cs="Arial"/>
        </w:rPr>
        <w:t xml:space="preserve">the </w:t>
      </w:r>
      <w:r w:rsidR="00527C79">
        <w:rPr>
          <w:rFonts w:cs="Arial"/>
        </w:rPr>
        <w:t>Paragraph</w:t>
      </w:r>
      <w:r w:rsidR="00495825">
        <w:rPr>
          <w:rFonts w:cs="Arial"/>
        </w:rPr>
        <w:t xml:space="preserve"> 19.18 (b) of the Council’s Constitution (version April 2019)</w:t>
      </w:r>
      <w:r w:rsidRPr="008273C2">
        <w:rPr>
          <w:rFonts w:cs="Arial"/>
        </w:rPr>
        <w:t xml:space="preserve">. </w:t>
      </w:r>
    </w:p>
    <w:p w:rsidR="00A64A11" w:rsidRPr="00640012" w:rsidRDefault="00A64A11" w:rsidP="00F143CE">
      <w:pPr>
        <w:rPr>
          <w:rFonts w:cs="Arial"/>
        </w:rPr>
      </w:pPr>
    </w:p>
    <w:p w:rsidR="00DA6D10" w:rsidRPr="00DA6D10" w:rsidRDefault="00DA6D10" w:rsidP="00DA6D10">
      <w:pPr>
        <w:ind w:left="360" w:hanging="360"/>
        <w:rPr>
          <w:iCs/>
        </w:rPr>
      </w:pPr>
      <w:r w:rsidRPr="00DA6D10">
        <w:rPr>
          <w:rFonts w:eastAsia="Arial" w:cs="Arial"/>
          <w:b/>
          <w:bCs/>
        </w:rPr>
        <w:t>Level of</w:t>
      </w:r>
      <w:r w:rsidRPr="00DA6D10">
        <w:rPr>
          <w:rFonts w:eastAsia="Arial" w:cs="Arial"/>
          <w:b/>
          <w:bCs/>
          <w:spacing w:val="-2"/>
        </w:rPr>
        <w:t xml:space="preserve"> </w:t>
      </w:r>
      <w:r w:rsidRPr="00DA6D10">
        <w:rPr>
          <w:rFonts w:eastAsia="Arial" w:cs="Arial"/>
          <w:b/>
          <w:bCs/>
        </w:rPr>
        <w:t>risk</w:t>
      </w:r>
    </w:p>
    <w:p w:rsidR="00DA6D10" w:rsidRPr="00C813BA" w:rsidRDefault="00505EEA" w:rsidP="00DA6D10">
      <w:pPr>
        <w:pStyle w:val="ListParagraph"/>
        <w:numPr>
          <w:ilvl w:val="0"/>
          <w:numId w:val="6"/>
        </w:numPr>
        <w:tabs>
          <w:tab w:val="clear" w:pos="426"/>
        </w:tabs>
        <w:ind w:left="360"/>
        <w:rPr>
          <w:rFonts w:cs="Arial"/>
          <w:b/>
        </w:rPr>
      </w:pPr>
      <w:r w:rsidRPr="00C813BA">
        <w:rPr>
          <w:rFonts w:eastAsia="Arial" w:cs="Arial"/>
        </w:rPr>
        <w:t>A</w:t>
      </w:r>
      <w:r w:rsidRPr="00C813BA">
        <w:rPr>
          <w:rFonts w:eastAsia="Arial" w:cs="Arial"/>
          <w:spacing w:val="-2"/>
        </w:rPr>
        <w:t xml:space="preserve"> </w:t>
      </w:r>
      <w:r w:rsidR="00106FC1">
        <w:rPr>
          <w:rFonts w:eastAsia="Arial" w:cs="Arial"/>
        </w:rPr>
        <w:t>Risk Register is attached (</w:t>
      </w:r>
      <w:r w:rsidRPr="00C813BA">
        <w:rPr>
          <w:rFonts w:eastAsia="Arial" w:cs="Arial"/>
        </w:rPr>
        <w:t xml:space="preserve">Appendix </w:t>
      </w:r>
      <w:r w:rsidR="00F143CE" w:rsidRPr="00C813BA">
        <w:rPr>
          <w:rFonts w:eastAsia="Arial" w:cs="Arial"/>
        </w:rPr>
        <w:t>2</w:t>
      </w:r>
      <w:r w:rsidR="00106FC1">
        <w:rPr>
          <w:rFonts w:eastAsia="Arial" w:cs="Arial"/>
        </w:rPr>
        <w:t>)</w:t>
      </w:r>
      <w:r w:rsidR="00F143CE" w:rsidRPr="00C813BA">
        <w:rPr>
          <w:rFonts w:eastAsia="Arial" w:cs="Arial"/>
        </w:rPr>
        <w:t>.</w:t>
      </w:r>
      <w:r w:rsidR="007A18A9" w:rsidRPr="00C813BA">
        <w:rPr>
          <w:rFonts w:eastAsia="Arial" w:cs="Arial"/>
        </w:rPr>
        <w:t xml:space="preserve">  </w:t>
      </w:r>
    </w:p>
    <w:p w:rsidR="00F143CE" w:rsidRDefault="00F143CE">
      <w:pPr>
        <w:spacing w:after="0"/>
        <w:rPr>
          <w:rFonts w:cs="Arial"/>
          <w:b/>
        </w:rPr>
      </w:pPr>
    </w:p>
    <w:p w:rsidR="00DA6D10" w:rsidRPr="00DA6D10" w:rsidRDefault="00DA6D10" w:rsidP="00DA6D10">
      <w:pPr>
        <w:ind w:left="360" w:hanging="360"/>
        <w:rPr>
          <w:rFonts w:cs="Arial"/>
          <w:b/>
        </w:rPr>
      </w:pPr>
      <w:r w:rsidRPr="00DA6D10">
        <w:rPr>
          <w:rFonts w:cs="Arial"/>
          <w:b/>
        </w:rPr>
        <w:t>Equalities impact</w:t>
      </w:r>
    </w:p>
    <w:p w:rsidR="00DA6D10" w:rsidRPr="00DA6D10" w:rsidRDefault="009901A3" w:rsidP="00D16C47">
      <w:pPr>
        <w:pStyle w:val="ListParagraph"/>
        <w:numPr>
          <w:ilvl w:val="0"/>
          <w:numId w:val="6"/>
        </w:numPr>
        <w:tabs>
          <w:tab w:val="clear" w:pos="426"/>
        </w:tabs>
        <w:ind w:left="426"/>
        <w:rPr>
          <w:iCs/>
        </w:rPr>
      </w:pPr>
      <w:r>
        <w:rPr>
          <w:rFonts w:eastAsia="Arial" w:cs="Arial"/>
        </w:rPr>
        <w:t>An Equalities Assessment is attached</w:t>
      </w:r>
      <w:r w:rsidR="001B5B07">
        <w:rPr>
          <w:rFonts w:eastAsia="Arial" w:cs="Arial"/>
        </w:rPr>
        <w:t xml:space="preserve"> (Appendix </w:t>
      </w:r>
      <w:r w:rsidR="00F143CE">
        <w:rPr>
          <w:rFonts w:eastAsia="Arial" w:cs="Arial"/>
        </w:rPr>
        <w:t>3</w:t>
      </w:r>
      <w:r w:rsidR="001B5B07">
        <w:rPr>
          <w:rFonts w:eastAsia="Arial" w:cs="Arial"/>
        </w:rPr>
        <w:t>)</w:t>
      </w:r>
      <w:r>
        <w:rPr>
          <w:rFonts w:eastAsia="Arial" w:cs="Arial"/>
        </w:rPr>
        <w:t>.</w:t>
      </w:r>
    </w:p>
    <w:p w:rsidR="00505EEA" w:rsidRPr="00505EEA" w:rsidRDefault="00505EEA" w:rsidP="00505EEA">
      <w:pPr>
        <w:spacing w:before="6" w:after="0" w:line="150" w:lineRule="exact"/>
        <w:rPr>
          <w:rFonts w:ascii="Calibri" w:eastAsia="Calibri" w:hAnsi="Calibri"/>
          <w:sz w:val="15"/>
          <w:szCs w:val="15"/>
        </w:rPr>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A6D10" w:rsidP="00505EEA">
            <w:pPr>
              <w:ind w:left="720" w:hanging="720"/>
            </w:pPr>
            <w:r>
              <w:t>Aileen Carlisle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A6D10" w:rsidP="00A46E98">
            <w:r>
              <w:rPr>
                <w:rFonts w:eastAsia="Arial" w:cs="Arial"/>
              </w:rPr>
              <w:t>Executive Director Customer and Communities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A6D10" w:rsidP="00A46E98">
            <w:r>
              <w:t>Customer and Communities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A6D10" w:rsidP="00DA6D10">
            <w:r w:rsidRPr="00DA6D10">
              <w:t>01865 252344</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A6D10" w:rsidP="00A46E98">
            <w:pPr>
              <w:rPr>
                <w:rStyle w:val="Hyperlink"/>
                <w:color w:val="000000"/>
              </w:rPr>
            </w:pPr>
            <w:r>
              <w:rPr>
                <w:rFonts w:eastAsia="Arial" w:cs="Arial"/>
                <w:position w:val="-1"/>
                <w:u w:val="single" w:color="000000"/>
              </w:rPr>
              <w:t>acarlisle</w:t>
            </w:r>
            <w:r w:rsidR="004A44D2">
              <w:rPr>
                <w:rFonts w:eastAsia="Arial" w:cs="Arial"/>
                <w:position w:val="-1"/>
                <w:u w:val="single" w:color="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99" w:rsidRDefault="00F05599" w:rsidP="004A6D2F">
      <w:r>
        <w:separator/>
      </w:r>
    </w:p>
  </w:endnote>
  <w:endnote w:type="continuationSeparator" w:id="0">
    <w:p w:rsidR="00F05599" w:rsidRDefault="00F0559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C0" w:rsidRDefault="00047BC0" w:rsidP="004A6D2F">
    <w:pPr>
      <w:pStyle w:val="Footer"/>
    </w:pPr>
    <w:r>
      <w:t>Do not use a footer or page numbers.</w:t>
    </w:r>
  </w:p>
  <w:p w:rsidR="00047BC0" w:rsidRDefault="00047BC0" w:rsidP="004A6D2F">
    <w:pPr>
      <w:pStyle w:val="Footer"/>
    </w:pPr>
  </w:p>
  <w:p w:rsidR="00047BC0" w:rsidRDefault="00047BC0"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C0" w:rsidRDefault="00047BC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99" w:rsidRDefault="00F05599" w:rsidP="004A6D2F">
      <w:r>
        <w:separator/>
      </w:r>
    </w:p>
  </w:footnote>
  <w:footnote w:type="continuationSeparator" w:id="0">
    <w:p w:rsidR="00F05599" w:rsidRDefault="00F0559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C0" w:rsidRDefault="00CE53E0" w:rsidP="00D5547E">
    <w:pPr>
      <w:pStyle w:val="Header"/>
      <w:jc w:val="right"/>
    </w:pPr>
    <w:r>
      <w:rPr>
        <w:noProof/>
      </w:rPr>
      <w:drawing>
        <wp:inline distT="0" distB="0" distL="0" distR="0" wp14:anchorId="0E3D5554" wp14:editId="61FF2D5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A32626"/>
    <w:multiLevelType w:val="hybridMultilevel"/>
    <w:tmpl w:val="101A3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A7E6D21"/>
    <w:multiLevelType w:val="multilevel"/>
    <w:tmpl w:val="45E82578"/>
    <w:lvl w:ilvl="0">
      <w:start w:val="1"/>
      <w:numFmt w:val="lowerLetter"/>
      <w:lvlText w:val="(%1)"/>
      <w:lvlJc w:val="left"/>
      <w:pPr>
        <w:ind w:left="786" w:hanging="360"/>
      </w:pPr>
      <w:rPr>
        <w:rFonts w:ascii="Arial" w:eastAsia="Times New Roman" w:hAnsi="Arial" w:cs="Times New Roman"/>
        <w:color w:val="00000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321C0CB4"/>
    <w:multiLevelType w:val="hybridMultilevel"/>
    <w:tmpl w:val="09B60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B76BDC"/>
    <w:multiLevelType w:val="hybridMultilevel"/>
    <w:tmpl w:val="5C7C6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98365C6"/>
    <w:multiLevelType w:val="multilevel"/>
    <w:tmpl w:val="E67CE66C"/>
    <w:numStyleLink w:val="StyleNumberedLeft0cmHanging075cm"/>
  </w:abstractNum>
  <w:num w:numId="1">
    <w:abstractNumId w:val="0"/>
  </w:num>
  <w:num w:numId="2">
    <w:abstractNumId w:val="8"/>
  </w:num>
  <w:num w:numId="3">
    <w:abstractNumId w:val="3"/>
  </w:num>
  <w:num w:numId="4">
    <w:abstractNumId w:val="2"/>
  </w:num>
  <w:num w:numId="5">
    <w:abstractNumId w:val="7"/>
  </w:num>
  <w:num w:numId="6">
    <w:abstractNumId w:val="1"/>
  </w:num>
  <w:num w:numId="7">
    <w:abstractNumId w:val="4"/>
  </w:num>
  <w:num w:numId="8">
    <w:abstractNumId w:val="6"/>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14D7"/>
    <w:rsid w:val="00045F8B"/>
    <w:rsid w:val="00046D2B"/>
    <w:rsid w:val="00047BC0"/>
    <w:rsid w:val="00050491"/>
    <w:rsid w:val="00056263"/>
    <w:rsid w:val="00064D8A"/>
    <w:rsid w:val="00064F82"/>
    <w:rsid w:val="00066510"/>
    <w:rsid w:val="00077113"/>
    <w:rsid w:val="00077523"/>
    <w:rsid w:val="000B5B8D"/>
    <w:rsid w:val="000C089F"/>
    <w:rsid w:val="000C3928"/>
    <w:rsid w:val="000C5E8E"/>
    <w:rsid w:val="000E47FE"/>
    <w:rsid w:val="000F4751"/>
    <w:rsid w:val="000F5060"/>
    <w:rsid w:val="0010524C"/>
    <w:rsid w:val="00106FC1"/>
    <w:rsid w:val="001110F6"/>
    <w:rsid w:val="00111FB1"/>
    <w:rsid w:val="00112AE7"/>
    <w:rsid w:val="00113418"/>
    <w:rsid w:val="00123959"/>
    <w:rsid w:val="00131CEE"/>
    <w:rsid w:val="001356F1"/>
    <w:rsid w:val="00136994"/>
    <w:rsid w:val="0014128E"/>
    <w:rsid w:val="00151888"/>
    <w:rsid w:val="00170A2D"/>
    <w:rsid w:val="001808BC"/>
    <w:rsid w:val="00182B81"/>
    <w:rsid w:val="0018619D"/>
    <w:rsid w:val="001A011E"/>
    <w:rsid w:val="001A066A"/>
    <w:rsid w:val="001A13E6"/>
    <w:rsid w:val="001A5731"/>
    <w:rsid w:val="001B42C3"/>
    <w:rsid w:val="001B5B07"/>
    <w:rsid w:val="001C2FF7"/>
    <w:rsid w:val="001C5D5E"/>
    <w:rsid w:val="001D678D"/>
    <w:rsid w:val="001E03F8"/>
    <w:rsid w:val="001E1678"/>
    <w:rsid w:val="001E3376"/>
    <w:rsid w:val="002069B3"/>
    <w:rsid w:val="002329CF"/>
    <w:rsid w:val="00232F5B"/>
    <w:rsid w:val="0023479E"/>
    <w:rsid w:val="00234D3A"/>
    <w:rsid w:val="00247C29"/>
    <w:rsid w:val="00260467"/>
    <w:rsid w:val="00263EA3"/>
    <w:rsid w:val="002740A3"/>
    <w:rsid w:val="00284F85"/>
    <w:rsid w:val="00290915"/>
    <w:rsid w:val="00292377"/>
    <w:rsid w:val="002A22E2"/>
    <w:rsid w:val="002B5CA5"/>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0B31"/>
    <w:rsid w:val="004440F1"/>
    <w:rsid w:val="004456DD"/>
    <w:rsid w:val="00446CDF"/>
    <w:rsid w:val="004521B7"/>
    <w:rsid w:val="00462AB5"/>
    <w:rsid w:val="004639FC"/>
    <w:rsid w:val="00465EAF"/>
    <w:rsid w:val="004738C5"/>
    <w:rsid w:val="00475CA5"/>
    <w:rsid w:val="00491046"/>
    <w:rsid w:val="00495825"/>
    <w:rsid w:val="004A2AC7"/>
    <w:rsid w:val="004A44D2"/>
    <w:rsid w:val="004A6D2F"/>
    <w:rsid w:val="004C2887"/>
    <w:rsid w:val="004C73E7"/>
    <w:rsid w:val="004D2626"/>
    <w:rsid w:val="004D6E26"/>
    <w:rsid w:val="004D77D3"/>
    <w:rsid w:val="004E2959"/>
    <w:rsid w:val="004F0C76"/>
    <w:rsid w:val="004F20EF"/>
    <w:rsid w:val="0050321C"/>
    <w:rsid w:val="00505EEA"/>
    <w:rsid w:val="00512A83"/>
    <w:rsid w:val="00527C79"/>
    <w:rsid w:val="0054712D"/>
    <w:rsid w:val="00547EF6"/>
    <w:rsid w:val="005570B5"/>
    <w:rsid w:val="00567E18"/>
    <w:rsid w:val="00575F5F"/>
    <w:rsid w:val="00581805"/>
    <w:rsid w:val="00585F76"/>
    <w:rsid w:val="005902C4"/>
    <w:rsid w:val="005A34E4"/>
    <w:rsid w:val="005B17F2"/>
    <w:rsid w:val="005B7FB0"/>
    <w:rsid w:val="005C35A5"/>
    <w:rsid w:val="005C577C"/>
    <w:rsid w:val="005D0621"/>
    <w:rsid w:val="005D1E27"/>
    <w:rsid w:val="005D2A3E"/>
    <w:rsid w:val="005E022E"/>
    <w:rsid w:val="005E5215"/>
    <w:rsid w:val="005F7F7E"/>
    <w:rsid w:val="00614693"/>
    <w:rsid w:val="00617308"/>
    <w:rsid w:val="00623C2F"/>
    <w:rsid w:val="00633578"/>
    <w:rsid w:val="00637068"/>
    <w:rsid w:val="00640012"/>
    <w:rsid w:val="00650811"/>
    <w:rsid w:val="00661D3E"/>
    <w:rsid w:val="00665F7F"/>
    <w:rsid w:val="00683936"/>
    <w:rsid w:val="00692627"/>
    <w:rsid w:val="006969E7"/>
    <w:rsid w:val="006A3643"/>
    <w:rsid w:val="006C2A29"/>
    <w:rsid w:val="006C64CF"/>
    <w:rsid w:val="006D17B1"/>
    <w:rsid w:val="006D3882"/>
    <w:rsid w:val="006D4752"/>
    <w:rsid w:val="006D708A"/>
    <w:rsid w:val="006E14C1"/>
    <w:rsid w:val="006F0292"/>
    <w:rsid w:val="006F27FA"/>
    <w:rsid w:val="006F416B"/>
    <w:rsid w:val="006F519B"/>
    <w:rsid w:val="00713675"/>
    <w:rsid w:val="00715823"/>
    <w:rsid w:val="00737B93"/>
    <w:rsid w:val="00745BF0"/>
    <w:rsid w:val="007615FE"/>
    <w:rsid w:val="00762468"/>
    <w:rsid w:val="0076655C"/>
    <w:rsid w:val="00766C47"/>
    <w:rsid w:val="007742DC"/>
    <w:rsid w:val="00791437"/>
    <w:rsid w:val="007936DA"/>
    <w:rsid w:val="007A18A9"/>
    <w:rsid w:val="007B0C2C"/>
    <w:rsid w:val="007B278E"/>
    <w:rsid w:val="007B301E"/>
    <w:rsid w:val="007C3988"/>
    <w:rsid w:val="007C5C23"/>
    <w:rsid w:val="007E2A26"/>
    <w:rsid w:val="007F2348"/>
    <w:rsid w:val="00803F07"/>
    <w:rsid w:val="0080749A"/>
    <w:rsid w:val="00821FB8"/>
    <w:rsid w:val="00822ACD"/>
    <w:rsid w:val="008243FA"/>
    <w:rsid w:val="008273C2"/>
    <w:rsid w:val="0084304D"/>
    <w:rsid w:val="00855C66"/>
    <w:rsid w:val="0086322E"/>
    <w:rsid w:val="00865EBD"/>
    <w:rsid w:val="00871EE4"/>
    <w:rsid w:val="00877444"/>
    <w:rsid w:val="00895F9A"/>
    <w:rsid w:val="008B293F"/>
    <w:rsid w:val="008B7371"/>
    <w:rsid w:val="008B7A9F"/>
    <w:rsid w:val="008D3DDB"/>
    <w:rsid w:val="008F573F"/>
    <w:rsid w:val="009034EC"/>
    <w:rsid w:val="009075D2"/>
    <w:rsid w:val="0092443B"/>
    <w:rsid w:val="0093067A"/>
    <w:rsid w:val="00941C60"/>
    <w:rsid w:val="00966D42"/>
    <w:rsid w:val="00970F8B"/>
    <w:rsid w:val="00971207"/>
    <w:rsid w:val="00971689"/>
    <w:rsid w:val="00972E9F"/>
    <w:rsid w:val="00973E90"/>
    <w:rsid w:val="00975B07"/>
    <w:rsid w:val="00980B4A"/>
    <w:rsid w:val="009901A3"/>
    <w:rsid w:val="009B38FB"/>
    <w:rsid w:val="009C4201"/>
    <w:rsid w:val="009E3D0A"/>
    <w:rsid w:val="009E51FC"/>
    <w:rsid w:val="009F1D28"/>
    <w:rsid w:val="009F24E8"/>
    <w:rsid w:val="009F7618"/>
    <w:rsid w:val="00A0210E"/>
    <w:rsid w:val="00A04D23"/>
    <w:rsid w:val="00A06766"/>
    <w:rsid w:val="00A13765"/>
    <w:rsid w:val="00A21B12"/>
    <w:rsid w:val="00A23F80"/>
    <w:rsid w:val="00A449B4"/>
    <w:rsid w:val="00A46E98"/>
    <w:rsid w:val="00A6352B"/>
    <w:rsid w:val="00A64A11"/>
    <w:rsid w:val="00A701B5"/>
    <w:rsid w:val="00A714BB"/>
    <w:rsid w:val="00A92D8F"/>
    <w:rsid w:val="00AB2988"/>
    <w:rsid w:val="00AB7999"/>
    <w:rsid w:val="00AD3292"/>
    <w:rsid w:val="00AE7AF0"/>
    <w:rsid w:val="00B32CFF"/>
    <w:rsid w:val="00B500CA"/>
    <w:rsid w:val="00B86314"/>
    <w:rsid w:val="00BA1C2E"/>
    <w:rsid w:val="00BA6054"/>
    <w:rsid w:val="00BA79D0"/>
    <w:rsid w:val="00BB7A9C"/>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13BA"/>
    <w:rsid w:val="00C82630"/>
    <w:rsid w:val="00C85B4E"/>
    <w:rsid w:val="00C907F7"/>
    <w:rsid w:val="00C941C9"/>
    <w:rsid w:val="00CA2103"/>
    <w:rsid w:val="00CB6B99"/>
    <w:rsid w:val="00CC2980"/>
    <w:rsid w:val="00CE4C87"/>
    <w:rsid w:val="00CE53E0"/>
    <w:rsid w:val="00CE544A"/>
    <w:rsid w:val="00D11E1C"/>
    <w:rsid w:val="00D160B0"/>
    <w:rsid w:val="00D16C47"/>
    <w:rsid w:val="00D17F94"/>
    <w:rsid w:val="00D223FC"/>
    <w:rsid w:val="00D26D1E"/>
    <w:rsid w:val="00D3224D"/>
    <w:rsid w:val="00D43873"/>
    <w:rsid w:val="00D474CF"/>
    <w:rsid w:val="00D5547E"/>
    <w:rsid w:val="00D661DB"/>
    <w:rsid w:val="00D755C3"/>
    <w:rsid w:val="00D869A1"/>
    <w:rsid w:val="00DA413F"/>
    <w:rsid w:val="00DA4584"/>
    <w:rsid w:val="00DA614B"/>
    <w:rsid w:val="00DA6D10"/>
    <w:rsid w:val="00DC3060"/>
    <w:rsid w:val="00DE0FB2"/>
    <w:rsid w:val="00DE759B"/>
    <w:rsid w:val="00DF093E"/>
    <w:rsid w:val="00DF7403"/>
    <w:rsid w:val="00E01F42"/>
    <w:rsid w:val="00E206D6"/>
    <w:rsid w:val="00E3366E"/>
    <w:rsid w:val="00E52086"/>
    <w:rsid w:val="00E543A6"/>
    <w:rsid w:val="00E60479"/>
    <w:rsid w:val="00E61D73"/>
    <w:rsid w:val="00E658A9"/>
    <w:rsid w:val="00E735C7"/>
    <w:rsid w:val="00E73684"/>
    <w:rsid w:val="00E737FE"/>
    <w:rsid w:val="00E818D6"/>
    <w:rsid w:val="00E87F7A"/>
    <w:rsid w:val="00E96BD7"/>
    <w:rsid w:val="00EA0DB1"/>
    <w:rsid w:val="00EA0EE9"/>
    <w:rsid w:val="00EA2026"/>
    <w:rsid w:val="00ED52CA"/>
    <w:rsid w:val="00ED5860"/>
    <w:rsid w:val="00EE35C9"/>
    <w:rsid w:val="00F05599"/>
    <w:rsid w:val="00F05ECA"/>
    <w:rsid w:val="00F143CE"/>
    <w:rsid w:val="00F3566E"/>
    <w:rsid w:val="00F375FB"/>
    <w:rsid w:val="00F41AC1"/>
    <w:rsid w:val="00F4367A"/>
    <w:rsid w:val="00F445B1"/>
    <w:rsid w:val="00F45CD4"/>
    <w:rsid w:val="00F613BE"/>
    <w:rsid w:val="00F66DCA"/>
    <w:rsid w:val="00F74F53"/>
    <w:rsid w:val="00F7606D"/>
    <w:rsid w:val="00F81670"/>
    <w:rsid w:val="00F82024"/>
    <w:rsid w:val="00F83177"/>
    <w:rsid w:val="00F95BC9"/>
    <w:rsid w:val="00FA624C"/>
    <w:rsid w:val="00FB3D62"/>
    <w:rsid w:val="00FC7942"/>
    <w:rsid w:val="00FD0FAC"/>
    <w:rsid w:val="00FD1678"/>
    <w:rsid w:val="00FD16E2"/>
    <w:rsid w:val="00FD1DFA"/>
    <w:rsid w:val="00FD4966"/>
    <w:rsid w:val="00FE2405"/>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eld-content5">
    <w:name w:val="field-content5"/>
    <w:rsid w:val="00047BC0"/>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eld-content5">
    <w:name w:val="field-content5"/>
    <w:rsid w:val="00047BC0"/>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9403">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1271646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0357751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253493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85879246">
      <w:bodyDiv w:val="1"/>
      <w:marLeft w:val="0"/>
      <w:marRight w:val="0"/>
      <w:marTop w:val="0"/>
      <w:marBottom w:val="0"/>
      <w:divBdr>
        <w:top w:val="none" w:sz="0" w:space="0" w:color="auto"/>
        <w:left w:val="none" w:sz="0" w:space="0" w:color="auto"/>
        <w:bottom w:val="none" w:sz="0" w:space="0" w:color="auto"/>
        <w:right w:val="none" w:sz="0" w:space="0" w:color="auto"/>
      </w:divBdr>
    </w:div>
    <w:div w:id="1890729322">
      <w:bodyDiv w:val="1"/>
      <w:marLeft w:val="0"/>
      <w:marRight w:val="0"/>
      <w:marTop w:val="0"/>
      <w:marBottom w:val="0"/>
      <w:divBdr>
        <w:top w:val="none" w:sz="0" w:space="0" w:color="auto"/>
        <w:left w:val="none" w:sz="0" w:space="0" w:color="auto"/>
        <w:bottom w:val="none" w:sz="0" w:space="0" w:color="auto"/>
        <w:right w:val="none" w:sz="0" w:space="0" w:color="auto"/>
      </w:divBdr>
    </w:div>
    <w:div w:id="19229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640E-4FD6-4A3F-93FE-11FDE352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D10250AD</Template>
  <TotalTime>2</TotalTime>
  <Pages>6</Pages>
  <Words>1976</Words>
  <Characters>10615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4</cp:revision>
  <cp:lastPrinted>2019-06-03T03:40:00Z</cp:lastPrinted>
  <dcterms:created xsi:type="dcterms:W3CDTF">2019-06-03T04:13:00Z</dcterms:created>
  <dcterms:modified xsi:type="dcterms:W3CDTF">2019-06-03T15:44:00Z</dcterms:modified>
</cp:coreProperties>
</file>